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9106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玉林市中西医结合骨科医院</w:t>
      </w:r>
    </w:p>
    <w:p w14:paraId="58428EA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中医药古籍验方传承挖掘与</w:t>
      </w:r>
    </w:p>
    <w:p w14:paraId="0DD92B2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转化应用示范项目需求参数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第二版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p w14:paraId="1E07084B">
      <w:pPr>
        <w:pStyle w:val="2"/>
        <w:rPr>
          <w:rFonts w:hint="eastAsia"/>
        </w:rPr>
      </w:pPr>
    </w:p>
    <w:tbl>
      <w:tblPr>
        <w:tblStyle w:val="3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4066"/>
        <w:gridCol w:w="4580"/>
      </w:tblGrid>
      <w:tr w14:paraId="7A0D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5C4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40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B97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核心需求参数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▲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89D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量化指标</w:t>
            </w:r>
          </w:p>
        </w:tc>
      </w:tr>
      <w:tr w14:paraId="5168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CA5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挖掘筛选服务（中医传承计算平台挖掘古方+中华医典中医古籍数据库挖掘古方）</w:t>
            </w:r>
          </w:p>
        </w:tc>
        <w:tc>
          <w:tcPr>
            <w:tcW w:w="40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484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构建“骨科古籍验方专题数据库”，涵盖朝代、医家、方剂、药物、主治五位一体信息；2.基于数据库通过AI人工智能分析，发现古籍中潜在的“新方”雏形；3.采用数据挖掘+专家论证的“古今结合”模式，构建多维度评估体系，评估验方/技术的研究热度、证据强度及潜在价值，锁定最有开发价值的1-2个候选方；4.核心交付物：提交《中医药骨伤特色技术/验方文献挖掘与价值评估报告》，数据客观、结论清晰，支撑后续决策。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▲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F17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1.数据库规模：收录骨科相关古籍验方500-1000首，覆盖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核心数据源；2.新方挖掘：产出源于古籍的潜在新方组合3-5个，每个新方需明确组方依据、适配病种及核心药物；3.价值评估：组建≥5人的专家论证团队（含中医药古籍研究、骨科、科研管理领域）；4.报告要求：《中医药骨伤特色技术/验方文献挖掘与价值评估报告》1份，含数据库明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使用说明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</w:tc>
      </w:tr>
      <w:tr w14:paraId="2585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98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科学阐释服务（古方验方，1套完整探索性研究方案（根据备案批文要求做））</w:t>
            </w:r>
          </w:p>
        </w:tc>
        <w:tc>
          <w:tcPr>
            <w:tcW w:w="40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AF8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针对1-2项潜力验方/技术，设计科学合理的探索性研究方案，明确研究思路、技术路线及方法学依据；2.运用网络药理学、生物信息学等技术开展复方分析与活性成分探索，结合体外细胞/动物模型/类器官模型进行药效评价及作用机制研究；3.核心交付物：提交《XXX验方/技术现代科学研究报告》，完整呈现研究设计、过程、数据及分析结论，科学严谨；4.构建“古籍挖掘→数据筛选→体内外实验验证→临床验证→院内制剂”的快速转化通道，为医疗机构开发中药制剂提供可复制的范例。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▲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1A5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研究覆盖：聚焦1-2项候选验方，完成全套探索性研究方案，明确技术路线图及关键节点；2.成分与靶点分析：利用TCMSP、SwissTargetPrediction等数据库，筛选核心活性成分≥10种，明确对应疾病靶点≥20个，完成KEGG/GO富集分析；3.体外验证：采用细胞模型（如成骨细胞、炎症细胞）开展药效评价，设置≥3个浓度梯度，重复实验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次，数据采用均数±标准差表示，统计检验方法明确；4.体内验证（按需）：构建1种动物模型（如骨折愈合、炎症模型），每组样本量≥10只，完成行为学、组织学及分子生物学检测（如WesternBlot/qPCR检测关键通路蛋白表达）；5.报告要求：《XXX验方/技术现代科学研究报告》1份，含原始实验数据、图谱及统计分析结果。</w:t>
            </w:r>
          </w:p>
        </w:tc>
      </w:tr>
      <w:tr w14:paraId="15BD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920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成果转化服务（变成院内协定处方）</w:t>
            </w:r>
          </w:p>
        </w:tc>
        <w:tc>
          <w:tcPr>
            <w:tcW w:w="40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C7C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结合基层应用需求，提供剂型改良建议、制备工艺初步探索、诊疗场景适配方案；2.对具备开发前景的成果，提出知识产权保护初步规划；3.核心交付物：提交《XXX成果转化可行性初步论证及方案建议》，兼具创新性与实操性，明确后续开发关键步骤与潜在合作模式。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▲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A32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制剂转化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：提出1种适配基层应用的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制剂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方案；2.知识产权：形成1项发明专利申请方向（针对处方、工艺或质量控制方法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），提交专利检索报告及申请框架；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.方案要求：《XXX成果转化可行性初步论证及方案建议》1份，含剂型工艺报告、知识产权规划、院内协定处方申报路径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</w:tc>
      </w:tr>
      <w:tr w14:paraId="1D6B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CBC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通用服务要求</w:t>
            </w:r>
          </w:p>
        </w:tc>
        <w:tc>
          <w:tcPr>
            <w:tcW w:w="864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02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流程规范：完成“文献挖掘-科学验证-转化设计”完整工作流程，各阶段衔接顺畅、逻辑清晰；</w:t>
            </w:r>
          </w:p>
          <w:p w14:paraId="15915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成果质量：所有交付成果符合国家相关法律法规及科研伦理要求，数据详实、分析严谨，达到行业通用技术标准；</w:t>
            </w:r>
          </w:p>
          <w:p w14:paraId="58EA3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中心适配：成果能有效支撑中医药技术中心能力建设与示范案例打造，适配院内制剂开发或基层适宜技术推广需求</w:t>
            </w:r>
          </w:p>
          <w:p w14:paraId="7353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团队保障：配备专业技术服务团队，含中医药古籍整理、验方研究、成果转化相关专业中级及以上职称人员，提供团队配置证明及相关项目业绩证明；</w:t>
            </w:r>
          </w:p>
          <w:p w14:paraId="05F6E3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5.服务周期：明确各阶段完成时间节点，202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年底前完成全部成果交付</w:t>
            </w:r>
          </w:p>
        </w:tc>
      </w:tr>
      <w:tr w14:paraId="0DB6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FDA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服务保障</w:t>
            </w:r>
          </w:p>
        </w:tc>
        <w:tc>
          <w:tcPr>
            <w:tcW w:w="864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02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质保期限：成果交付后质保期≥1年，质保期内免费提供报告修订、数据补充等服务；2.响应时效：提供7×24小时技术支持，接到咨询或修订需求后48小时内响应；</w:t>
            </w:r>
          </w:p>
          <w:p w14:paraId="00DC9C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3.保密要求：签订保密协议，严守医院核心技术、科研数据及患者隐私，不得擅自使用或泄露相关成果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1EF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2DBF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验收标准</w:t>
            </w:r>
          </w:p>
        </w:tc>
        <w:tc>
          <w:tcPr>
            <w:tcW w:w="864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582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1.流程完整性：完成“挖掘-研究-转化”全链条工作，各阶段工作记录完整、可追溯；2.成果规范性：交付报告格式规范、数据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翔实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、分析严谨，符合行业通用技术标准及科研报告撰写要求；3.适配性：成果能支撑中医药技术中心建设，可直接用于院内制剂开发或基层适宜技术推广；4.合规性：项目执行过程符合科研伦理要求，无知识产权纠纷及数据安全问题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3F8BDFF7">
      <w:pPr>
        <w:spacing w:before="120" w:after="120" w:line="288" w:lineRule="auto"/>
        <w:ind w:left="0"/>
        <w:jc w:val="left"/>
      </w:pP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545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448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A66AF"/>
    <w:multiLevelType w:val="singleLevel"/>
    <w:tmpl w:val="D7FA66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EC1965"/>
    <w:multiLevelType w:val="singleLevel"/>
    <w:tmpl w:val="0DEC19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6014"/>
    <w:rsid w:val="1FD60202"/>
    <w:rsid w:val="3C4D13F4"/>
    <w:rsid w:val="3F5D7BA0"/>
    <w:rsid w:val="45DB537A"/>
    <w:rsid w:val="49F16CDD"/>
    <w:rsid w:val="54252519"/>
    <w:rsid w:val="72095EBA"/>
    <w:rsid w:val="77D25D2E"/>
    <w:rsid w:val="797057FE"/>
    <w:rsid w:val="7CD75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spacing w:line="520" w:lineRule="exact"/>
      <w:ind w:firstLine="1041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1769</Words>
  <Characters>1876</Characters>
  <TotalTime>1</TotalTime>
  <ScaleCrop>false</ScaleCrop>
  <LinksUpToDate>false</LinksUpToDate>
  <CharactersWithSpaces>1876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2026-03-03T00:47:00Z</dcterms:created>
  <dc:creator>Apache POI</dc:creator>
  <cp:lastModifiedBy>囧司徒</cp:lastModifiedBy>
  <dcterms:modified xsi:type="dcterms:W3CDTF">2026-03-06T01:25:12Z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eyJoZGlkIjoiMTg3NmYyM2E0OTJjZmJlM2NiNmFmMDhmMTJiYjY5ZDEiLCJ1c2VySWQiOiIxMTY0MzE5MjYzIn0=</vt:lpwstr>
  </property>
  <property fmtid="{D5CDD505-2E9C-101B-9397-08002B2CF9AE}" pid="3" name="KSOProductBuildVer">
    <vt:lpwstr>2052-12.1.0.24657</vt:lpwstr>
  </property>
  <property fmtid="{D5CDD505-2E9C-101B-9397-08002B2CF9AE}" pid="4" name="ICV">
    <vt:lpwstr>1BFD0AFE776E4BB08BA7877BDC54E090_13</vt:lpwstr>
  </property>
</Properties>
</file>