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2DAE7">
      <w:pPr>
        <w:spacing w:before="320" w:after="120" w:line="288" w:lineRule="auto"/>
        <w:ind w:left="0"/>
        <w:jc w:val="center"/>
        <w:outlineLvl w:val="1"/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</w:pPr>
      <w:bookmarkStart w:id="0" w:name="heading_0"/>
      <w:r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  <w:t>中医四诊仪（</w:t>
      </w:r>
      <w:bookmarkStart w:id="6" w:name="_GoBack"/>
      <w:bookmarkEnd w:id="6"/>
      <w:r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  <w:t>舌面脉信息采集系统）</w:t>
      </w:r>
    </w:p>
    <w:p w14:paraId="065DDB8F">
      <w:pPr>
        <w:spacing w:before="320" w:after="120" w:line="288" w:lineRule="auto"/>
        <w:ind w:left="0"/>
        <w:jc w:val="center"/>
        <w:outlineLvl w:val="1"/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  <w:t>采购调研技术参数</w:t>
      </w:r>
    </w:p>
    <w:p w14:paraId="23D5AD1B">
      <w:pPr>
        <w:spacing w:before="320" w:after="120" w:line="288" w:lineRule="auto"/>
        <w:ind w:left="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一、总体采购要求</w:t>
      </w:r>
      <w:bookmarkEnd w:id="0"/>
    </w:p>
    <w:p w14:paraId="14B061F8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1. 采购用途：适用于骨伤专科医院门诊、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临床科室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患者开展中医四诊信息采集、体质辨识、气血瘀滞辨证、康复疗效评估。</w:t>
      </w:r>
    </w:p>
    <w:p w14:paraId="28BC68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44" w:afterLines="50" w:line="240" w:lineRule="auto"/>
        <w:ind w:left="0" w:firstLine="600" w:firstLineChars="200"/>
        <w:textAlignment w:val="baseline"/>
        <w:rPr>
          <w:rFonts w:hint="eastAsia" w:ascii="仿宋_GB2312" w:eastAsia="仿宋_GB2312"/>
          <w:spacing w:val="1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 xml:space="preserve">. 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资金预算总额50万以内，设备数量</w:t>
      </w:r>
      <w:r>
        <w:rPr>
          <w:rFonts w:hint="default" w:ascii="Arial" w:hAnsi="Arial" w:eastAsia="仿宋_GB2312" w:cs="Arial"/>
          <w:b w:val="0"/>
          <w:bCs/>
          <w:sz w:val="30"/>
          <w:szCs w:val="30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5台。资金来源：</w:t>
      </w:r>
      <w:r>
        <w:rPr>
          <w:rFonts w:hint="default" w:ascii="仿宋_GB2312" w:eastAsia="仿宋_GB2312"/>
          <w:spacing w:val="13"/>
          <w:sz w:val="32"/>
          <w:szCs w:val="32"/>
          <w:lang w:val="en-US" w:eastAsia="zh-CN"/>
        </w:rPr>
        <w:t>玉林市中医药传承创新发展示范项目</w:t>
      </w:r>
      <w:r>
        <w:rPr>
          <w:rFonts w:hint="eastAsia" w:ascii="仿宋_GB2312" w:eastAsia="仿宋_GB2312"/>
          <w:spacing w:val="13"/>
          <w:sz w:val="32"/>
          <w:szCs w:val="32"/>
          <w:lang w:val="en-US" w:eastAsia="zh-CN"/>
        </w:rPr>
        <w:t>专项资金。</w:t>
      </w:r>
    </w:p>
    <w:p w14:paraId="06A926BE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设备形式：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设备为一体化移动推车式四诊系统，配置≥21.5寸医用触控屏，工业级工控主机（≥8G内存、≥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  <w:lang w:val="en-US" w:eastAsia="zh-CN"/>
        </w:rPr>
        <w:t>256G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固态），支持7×24小时稳定运行。人体接触部件可拆卸、可消毒，满足院感要求。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适配医院日常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门诊、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临床使用。</w:t>
      </w:r>
    </w:p>
    <w:p w14:paraId="3DB0AB17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. 资质要求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eastAsia="zh-CN"/>
        </w:rPr>
        <w:t>：</w:t>
      </w:r>
    </w:p>
    <w:p w14:paraId="4713B7F3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（1）设备具备第二类医疗器械注册证及医疗器械生产许可证，注册证产品名称包含中医舌、脉信息采集功能，可用于医疗机构临床诊疗；</w:t>
      </w:r>
    </w:p>
    <w:p w14:paraId="61AA797A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（2）生产厂家具备ISO13485医疗器械质量管理体系认证；</w:t>
      </w:r>
    </w:p>
    <w:p w14:paraId="6ED4AAAD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（3）符合《YY/T 1488-2016舌象信息采集设备》医药行业标准；</w:t>
      </w:r>
    </w:p>
    <w:p w14:paraId="54A1C46D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（4）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无隐形收费，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软件终身免费升级，无年度年费、无续费锁机情况。</w:t>
      </w:r>
    </w:p>
    <w:p w14:paraId="589A45E7">
      <w:pPr>
        <w:spacing w:before="120" w:after="120" w:line="288" w:lineRule="auto"/>
        <w:ind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数据接口：标配标准数据接口，支持对接医院HIS、EMR电子病历系统，可实现数据上传、报告嵌入病历。</w:t>
      </w:r>
    </w:p>
    <w:p w14:paraId="424D6043">
      <w:pPr>
        <w:spacing w:before="120" w:after="120" w:line="288" w:lineRule="auto"/>
        <w:ind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对接服务：免费协助完成院内HIS、电子病历系统对接调试，确保数据正常上传、报告正常调取。</w:t>
      </w:r>
    </w:p>
    <w:p w14:paraId="7967097E">
      <w:pPr>
        <w:spacing w:before="320" w:after="120" w:line="288" w:lineRule="auto"/>
        <w:ind w:left="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" w:name="heading_2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、舌诊采集系统核心参数</w:t>
      </w:r>
      <w:bookmarkEnd w:id="1"/>
    </w:p>
    <w:p w14:paraId="5E922BC6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1. 采集方式：封闭式避光标准采集仓，完全隔绝环境杂光，保障舌象采集标准化，杜绝光线误差影响辨证结果；</w:t>
      </w:r>
    </w:p>
    <w:p w14:paraId="576BB98E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2. 标准光源：采用医用D65标准日光光源，色温5000K-5700K，显色指数Ra≥96，照度均匀稳定；</w:t>
      </w:r>
    </w:p>
    <w:p w14:paraId="78F6DE51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3. 成像配置：高清医用成像镜头，有效像素≥1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00万，色彩色差ΔE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≤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；</w:t>
      </w:r>
    </w:p>
    <w:p w14:paraId="0B7B5F83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4. 识别功能：可自动分割舌体、舌苔、舌下脉络，精准识别舌色、苔色、厚薄、润燥、裂纹、齿痕、瘀点瘀斑；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支持舌下瘀血评估；</w:t>
      </w:r>
    </w:p>
    <w:p w14:paraId="6C53E9B4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5. 对比功能：支持患者多次舌象数据存档、历史同屏对比。</w:t>
      </w:r>
    </w:p>
    <w:p w14:paraId="0B6B5E53">
      <w:pPr>
        <w:spacing w:before="320" w:after="120" w:line="288" w:lineRule="auto"/>
        <w:ind w:left="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bookmarkStart w:id="2" w:name="heading_3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四、脉象采集系统核心参数（临床合规标准）</w:t>
      </w:r>
      <w:bookmarkEnd w:id="2"/>
    </w:p>
    <w:p w14:paraId="53DAEC22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1. 采集模式：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寸关尺三通道独立传感器采集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，支持左右手六部脉象完整采集，符合中医三部九候诊脉规范；</w:t>
      </w:r>
    </w:p>
    <w:p w14:paraId="66070873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2. 硬件精度：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脉压在 0g~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0g范围内,对脉压测量误差不超过±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  <w:lang w:val="en-US"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支持浮中沉分层加压采集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，适配骨伤患者肢体僵硬、手腕活动受限人群；</w:t>
      </w:r>
    </w:p>
    <w:p w14:paraId="16D16F95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3. 脉象识别：可自动识别≥28种常见脉象，包含弦、涩、迟、虚、滑、沉等骨伤高频脉象，自动生成标准脉波图谱及脉率、脉力、脉宽等量化数据；</w:t>
      </w:r>
    </w:p>
    <w:p w14:paraId="63776190">
      <w:pPr>
        <w:spacing w:before="320" w:after="120" w:line="288" w:lineRule="auto"/>
        <w:ind w:left="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bookmarkStart w:id="3" w:name="heading_4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五、面诊与智能问诊模块</w:t>
      </w:r>
      <w:bookmarkEnd w:id="3"/>
    </w:p>
    <w:p w14:paraId="110CD729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1. 面诊功能：同标准光源采集面部、唇色信息，自动分析面色光泽、气血盛衰；</w:t>
      </w:r>
    </w:p>
    <w:p w14:paraId="176F4F12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2. 智能问诊：内置标准化中医问诊量表。</w:t>
      </w:r>
    </w:p>
    <w:p w14:paraId="2E309872">
      <w:pPr>
        <w:spacing w:before="320" w:after="120" w:line="288" w:lineRule="auto"/>
        <w:ind w:left="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bookmarkStart w:id="4" w:name="heading_5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六、软件系统功能</w:t>
      </w:r>
      <w:bookmarkEnd w:id="4"/>
    </w:p>
    <w:p w14:paraId="543201CA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1. 四诊合参：自动整合舌、面、脉、问全部数据，智能辨证分型；</w:t>
      </w:r>
    </w:p>
    <w:p w14:paraId="1243B401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2. 专科报告：自动生成中医辨证报告，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  <w:highlight w:val="none"/>
        </w:rPr>
        <w:t>附带康复调理方案、中医外治、膳食指导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，报告支持编辑、打印、PDF导出；</w:t>
      </w:r>
    </w:p>
    <w:p w14:paraId="6893438A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3. 数据管理：本地大容量数据库，可存储万级患者档案，支持按病种、证型、康复周期检索统计，满足中医专科建设、绩效考核数据上报需求；</w:t>
      </w:r>
    </w:p>
    <w:p w14:paraId="79E7666B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4. 权限管理：多级账号权限、操作日志留痕，符合医疗数据安全规范。</w:t>
      </w:r>
    </w:p>
    <w:p w14:paraId="7F0F1483">
      <w:pPr>
        <w:spacing w:before="320" w:after="120" w:line="288" w:lineRule="auto"/>
        <w:ind w:left="0"/>
        <w:jc w:val="left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bookmarkStart w:id="5" w:name="heading_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七、售后、培训及服务要求</w:t>
      </w:r>
      <w:bookmarkEnd w:id="5"/>
    </w:p>
    <w:p w14:paraId="5E16ADDF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1. 质保服务：整机原厂质保≥2年，软件终身免费迭代升级，无任何年度服务费；</w:t>
      </w:r>
    </w:p>
    <w:p w14:paraId="206B4D55">
      <w:pPr>
        <w:spacing w:before="120" w:after="120" w:line="288" w:lineRule="auto"/>
        <w:ind w:left="0" w:firstLine="600" w:firstLineChars="200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2.售后：故障2小时响应、24小时上门维修；</w:t>
      </w:r>
    </w:p>
    <w:p w14:paraId="7F5C46DA">
      <w:pPr>
        <w:spacing w:before="120" w:after="120" w:line="288" w:lineRule="auto"/>
        <w:ind w:left="0" w:leftChars="0" w:firstLine="416" w:firstLineChars="139"/>
        <w:jc w:val="left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3. 培训服务：提供不少于2次现场实操培训，覆盖医护人员，熟练掌握设备操作、报告解读、数据对接及日常校准维护；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84EB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8E42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033C45"/>
    <w:rsid w:val="0CF41C4A"/>
    <w:rsid w:val="276D5BDC"/>
    <w:rsid w:val="3E7337B6"/>
    <w:rsid w:val="683F75C4"/>
    <w:rsid w:val="6F5558EE"/>
    <w:rsid w:val="7FE21D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1618</Words>
  <Characters>1720</Characters>
  <TotalTime>15</TotalTime>
  <ScaleCrop>false</ScaleCrop>
  <LinksUpToDate>false</LinksUpToDate>
  <CharactersWithSpaces>1742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2026-09-23T03:01:00Z</dcterms:created>
  <dc:creator>Apache POI</dc:creator>
  <cp:lastModifiedBy>罗勇</cp:lastModifiedBy>
  <dcterms:modified xsi:type="dcterms:W3CDTF">2026-09-23T07:31:33Z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{"Label":"1","ContentProducer":"001191110102MACQD9K64010000","ProduceID":"7688560550943280059","ReservedCode1":"","ContentPropagator":"","PropagateID":"","ReservedCode2":""}</vt:lpwstr>
  </property>
  <property fmtid="{D5CDD505-2E9C-101B-9397-08002B2CF9AE}" pid="3" name="KSOTemplateDocerSaveRecord">
    <vt:lpwstr>eyJoZGlkIjoiZTM3ZTcyNDJjN2IwYzNmMjM0YjU5ODA3YjQzMGM1ZTMiLCJ1c2VySWQiOiIxODg0NDk2Nzc5In0=</vt:lpwstr>
  </property>
  <property fmtid="{D5CDD505-2E9C-101B-9397-08002B2CF9AE}" pid="4" name="KSOProductBuildVer">
    <vt:lpwstr>2052-12.1.0.28043</vt:lpwstr>
  </property>
  <property fmtid="{D5CDD505-2E9C-101B-9397-08002B2CF9AE}" pid="5" name="ICV">
    <vt:lpwstr>EA8D2FCA33AD49278780946F80594215_13</vt:lpwstr>
  </property>
</Properties>
</file>