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9E06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40" w:lineRule="exact"/>
        <w:ind w:leftChars="200" w:right="0" w:rightChars="0"/>
        <w:jc w:val="center"/>
        <w:textAlignment w:val="auto"/>
        <w:outlineLvl w:val="9"/>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eastAsia="zh-CN"/>
          <w14:textFill>
            <w14:solidFill>
              <w14:schemeClr w14:val="tx1"/>
            </w14:solidFill>
          </w14:textFill>
        </w:rPr>
        <w:t>玉林市中西医结合</w:t>
      </w: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t>骨</w:t>
      </w: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eastAsia="zh-CN"/>
          <w14:textFill>
            <w14:solidFill>
              <w14:schemeClr w14:val="tx1"/>
            </w14:solidFill>
          </w14:textFill>
        </w:rPr>
        <w:t>科医院</w:t>
      </w:r>
    </w:p>
    <w:p w14:paraId="03881E8F">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40" w:lineRule="exact"/>
        <w:ind w:leftChars="200" w:right="0" w:rightChars="0"/>
        <w:jc w:val="center"/>
        <w:textAlignment w:val="auto"/>
        <w:outlineLvl w:val="9"/>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t>数据库智能运维平台维保服务需求及评价标准</w:t>
      </w:r>
    </w:p>
    <w:p w14:paraId="6B61A8FE">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40" w:lineRule="exact"/>
        <w:ind w:leftChars="200" w:right="0" w:rightChars="0"/>
        <w:textAlignment w:val="auto"/>
        <w:outlineLvl w:val="9"/>
        <w:rPr>
          <w:rFonts w:hint="eastAsia" w:ascii="黑体" w:hAnsi="黑体" w:eastAsia="黑体" w:cs="黑体"/>
          <w:i w:val="0"/>
          <w:iCs w:val="0"/>
          <w:caps w:val="0"/>
          <w:color w:val="000000" w:themeColor="text1"/>
          <w:spacing w:val="0"/>
          <w:kern w:val="2"/>
          <w:sz w:val="32"/>
          <w:szCs w:val="32"/>
          <w:shd w:val="clear" w:fill="FFFFFF"/>
          <w:lang w:val="en-US" w:eastAsia="zh-CN" w:bidi="ar-SA"/>
          <w14:textFill>
            <w14:solidFill>
              <w14:schemeClr w14:val="tx1"/>
            </w14:solidFill>
          </w14:textFill>
        </w:rPr>
      </w:pPr>
    </w:p>
    <w:p w14:paraId="5923189E">
      <w:pPr>
        <w:pStyle w:val="1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40" w:lineRule="exact"/>
        <w:ind w:left="0" w:leftChars="0" w:right="0" w:rightChars="0" w:firstLine="640" w:firstLineChars="200"/>
        <w:textAlignment w:val="auto"/>
        <w:outlineLvl w:val="0"/>
        <w:rPr>
          <w:rFonts w:hint="eastAsia" w:ascii="黑体" w:hAnsi="黑体" w:eastAsia="黑体" w:cs="黑体"/>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黑体" w:hAnsi="黑体" w:eastAsia="黑体" w:cs="黑体"/>
          <w:i w:val="0"/>
          <w:iCs w:val="0"/>
          <w:caps w:val="0"/>
          <w:color w:val="000000" w:themeColor="text1"/>
          <w:spacing w:val="0"/>
          <w:kern w:val="2"/>
          <w:sz w:val="32"/>
          <w:szCs w:val="32"/>
          <w:shd w:val="clear" w:fill="FFFFFF"/>
          <w:lang w:val="en-US" w:eastAsia="zh-CN" w:bidi="ar-SA"/>
          <w14:textFill>
            <w14:solidFill>
              <w14:schemeClr w14:val="tx1"/>
            </w14:solidFill>
          </w14:textFill>
        </w:rPr>
        <w:t>服务主要内容</w:t>
      </w:r>
    </w:p>
    <w:p w14:paraId="0DF227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1.1服务范围：数据库智能运维平台，Oracle、sqlserver、mysql及国产主流数据库</w:t>
      </w:r>
    </w:p>
    <w:p w14:paraId="6F2900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1.2服务年限：1年</w:t>
      </w:r>
    </w:p>
    <w:tbl>
      <w:tblPr>
        <w:tblStyle w:val="17"/>
        <w:tblW w:w="8093" w:type="dxa"/>
        <w:jc w:val="center"/>
        <w:tblLayout w:type="fixed"/>
        <w:tblCellMar>
          <w:top w:w="0" w:type="dxa"/>
          <w:left w:w="108" w:type="dxa"/>
          <w:bottom w:w="0" w:type="dxa"/>
          <w:right w:w="108" w:type="dxa"/>
        </w:tblCellMar>
      </w:tblPr>
      <w:tblGrid>
        <w:gridCol w:w="779"/>
        <w:gridCol w:w="1379"/>
        <w:gridCol w:w="3615"/>
        <w:gridCol w:w="1395"/>
        <w:gridCol w:w="925"/>
      </w:tblGrid>
      <w:tr w14:paraId="22400997">
        <w:tblPrEx>
          <w:tblCellMar>
            <w:top w:w="0" w:type="dxa"/>
            <w:left w:w="108" w:type="dxa"/>
            <w:bottom w:w="0" w:type="dxa"/>
            <w:right w:w="108" w:type="dxa"/>
          </w:tblCellMar>
        </w:tblPrEx>
        <w:trPr>
          <w:trHeight w:val="383" w:hRule="atLeast"/>
          <w:tblHeader/>
          <w:jc w:val="center"/>
        </w:trPr>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B9C4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8"/>
                <w:szCs w:val="28"/>
                <w:lang w:val="en-US" w:eastAsia="zh-CN"/>
              </w:rPr>
            </w:pPr>
            <w:r>
              <w:rPr>
                <w:rFonts w:hint="eastAsia" w:ascii="Times New Roman" w:hAnsi="Times New Roman" w:eastAsia="仿宋_GB2312" w:cs="Times New Roman"/>
                <w:b/>
                <w:bCs w:val="0"/>
                <w:color w:val="auto"/>
                <w:sz w:val="28"/>
                <w:szCs w:val="28"/>
                <w:lang w:val="en-US" w:eastAsia="zh-CN"/>
              </w:rPr>
              <w:t>序号</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7FEEDE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8"/>
                <w:szCs w:val="28"/>
                <w:lang w:val="en-US" w:eastAsia="zh-CN"/>
              </w:rPr>
            </w:pPr>
            <w:r>
              <w:rPr>
                <w:rFonts w:hint="eastAsia" w:ascii="Times New Roman" w:hAnsi="Times New Roman" w:eastAsia="仿宋_GB2312" w:cs="Times New Roman"/>
                <w:b/>
                <w:bCs w:val="0"/>
                <w:color w:val="auto"/>
                <w:sz w:val="28"/>
                <w:szCs w:val="28"/>
                <w:lang w:val="en-US" w:eastAsia="zh-CN"/>
              </w:rPr>
              <w:t>服务模块</w:t>
            </w:r>
          </w:p>
        </w:tc>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14:paraId="4AC1306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8"/>
                <w:szCs w:val="28"/>
                <w:lang w:val="en-US" w:eastAsia="zh-CN"/>
              </w:rPr>
            </w:pPr>
            <w:r>
              <w:rPr>
                <w:rFonts w:hint="eastAsia" w:ascii="Times New Roman" w:hAnsi="Times New Roman" w:eastAsia="仿宋_GB2312" w:cs="Times New Roman"/>
                <w:b/>
                <w:bCs w:val="0"/>
                <w:color w:val="auto"/>
                <w:sz w:val="28"/>
                <w:szCs w:val="28"/>
                <w:lang w:val="en-US" w:eastAsia="zh-CN"/>
              </w:rPr>
              <w:t>服务内容介绍</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269EFFB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sz w:val="28"/>
                <w:szCs w:val="28"/>
                <w:lang w:val="en-US" w:eastAsia="zh-CN"/>
              </w:rPr>
            </w:pPr>
            <w:r>
              <w:rPr>
                <w:rFonts w:hint="eastAsia" w:ascii="Times New Roman" w:hAnsi="Times New Roman" w:eastAsia="仿宋_GB2312" w:cs="Times New Roman"/>
                <w:b/>
                <w:bCs w:val="0"/>
                <w:color w:val="auto"/>
                <w:sz w:val="28"/>
                <w:szCs w:val="28"/>
                <w:lang w:val="en-US" w:eastAsia="zh-CN"/>
              </w:rPr>
              <w:t>服务频率</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C5DA8A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val="0"/>
                <w:color w:val="auto"/>
                <w:sz w:val="28"/>
                <w:szCs w:val="28"/>
                <w:lang w:val="en-US" w:eastAsia="zh-CN"/>
              </w:rPr>
            </w:pPr>
            <w:r>
              <w:rPr>
                <w:rFonts w:hint="eastAsia" w:ascii="Times New Roman" w:hAnsi="Times New Roman" w:eastAsia="仿宋_GB2312" w:cs="Times New Roman"/>
                <w:b/>
                <w:bCs w:val="0"/>
                <w:color w:val="auto"/>
                <w:sz w:val="28"/>
                <w:szCs w:val="28"/>
                <w:lang w:val="en-US" w:eastAsia="zh-CN"/>
              </w:rPr>
              <w:t>数量</w:t>
            </w:r>
          </w:p>
        </w:tc>
      </w:tr>
      <w:tr w14:paraId="4C5441ED">
        <w:tblPrEx>
          <w:tblCellMar>
            <w:top w:w="0" w:type="dxa"/>
            <w:left w:w="108" w:type="dxa"/>
            <w:bottom w:w="0" w:type="dxa"/>
            <w:right w:w="108" w:type="dxa"/>
          </w:tblCellMar>
        </w:tblPrEx>
        <w:trPr>
          <w:trHeight w:val="0" w:hRule="atLeast"/>
          <w:jc w:val="center"/>
        </w:trPr>
        <w:tc>
          <w:tcPr>
            <w:tcW w:w="779" w:type="dxa"/>
            <w:vMerge w:val="restart"/>
            <w:tcBorders>
              <w:top w:val="single" w:color="auto" w:sz="4" w:space="0"/>
              <w:left w:val="single" w:color="auto" w:sz="4" w:space="0"/>
              <w:right w:val="single" w:color="auto" w:sz="4" w:space="0"/>
            </w:tcBorders>
            <w:shd w:val="clear" w:color="auto" w:fill="auto"/>
            <w:noWrap/>
            <w:vAlign w:val="center"/>
          </w:tcPr>
          <w:p w14:paraId="49E4129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1.2.1</w:t>
            </w:r>
          </w:p>
        </w:tc>
        <w:tc>
          <w:tcPr>
            <w:tcW w:w="1379" w:type="dxa"/>
            <w:vMerge w:val="restart"/>
            <w:tcBorders>
              <w:top w:val="single" w:color="auto" w:sz="4" w:space="0"/>
              <w:left w:val="single" w:color="auto" w:sz="4" w:space="0"/>
              <w:right w:val="single" w:color="auto" w:sz="4" w:space="0"/>
            </w:tcBorders>
            <w:shd w:val="clear" w:color="auto" w:fill="auto"/>
            <w:vAlign w:val="center"/>
          </w:tcPr>
          <w:p w14:paraId="58D427C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数据库智能运维平台维保</w:t>
            </w:r>
          </w:p>
        </w:tc>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14:paraId="29F6413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▲7*24小时远程支持服务</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5198F53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不限</w:t>
            </w:r>
          </w:p>
        </w:tc>
        <w:tc>
          <w:tcPr>
            <w:tcW w:w="925" w:type="dxa"/>
            <w:vMerge w:val="restart"/>
            <w:tcBorders>
              <w:top w:val="single" w:color="auto" w:sz="4" w:space="0"/>
              <w:left w:val="single" w:color="auto" w:sz="4" w:space="0"/>
              <w:right w:val="single" w:color="auto" w:sz="4" w:space="0"/>
            </w:tcBorders>
            <w:shd w:val="clear" w:color="auto" w:fill="auto"/>
            <w:vAlign w:val="center"/>
          </w:tcPr>
          <w:p w14:paraId="4AD2AB6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1年</w:t>
            </w:r>
          </w:p>
        </w:tc>
      </w:tr>
      <w:tr w14:paraId="33EA96F8">
        <w:tblPrEx>
          <w:tblCellMar>
            <w:top w:w="0" w:type="dxa"/>
            <w:left w:w="108" w:type="dxa"/>
            <w:bottom w:w="0" w:type="dxa"/>
            <w:right w:w="108" w:type="dxa"/>
          </w:tblCellMar>
        </w:tblPrEx>
        <w:trPr>
          <w:trHeight w:val="0" w:hRule="atLeast"/>
          <w:jc w:val="center"/>
        </w:trPr>
        <w:tc>
          <w:tcPr>
            <w:tcW w:w="779" w:type="dxa"/>
            <w:vMerge w:val="continue"/>
            <w:tcBorders>
              <w:left w:val="single" w:color="auto" w:sz="4" w:space="0"/>
              <w:right w:val="single" w:color="auto" w:sz="4" w:space="0"/>
            </w:tcBorders>
            <w:shd w:val="clear" w:color="auto" w:fill="auto"/>
            <w:noWrap/>
            <w:vAlign w:val="center"/>
          </w:tcPr>
          <w:p w14:paraId="30E7239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p>
        </w:tc>
        <w:tc>
          <w:tcPr>
            <w:tcW w:w="1379" w:type="dxa"/>
            <w:vMerge w:val="continue"/>
            <w:tcBorders>
              <w:left w:val="single" w:color="auto" w:sz="4" w:space="0"/>
              <w:right w:val="single" w:color="auto" w:sz="4" w:space="0"/>
            </w:tcBorders>
            <w:shd w:val="clear" w:color="auto" w:fill="auto"/>
            <w:vAlign w:val="center"/>
          </w:tcPr>
          <w:p w14:paraId="1F17EC5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p>
        </w:tc>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14:paraId="1F1D5A5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◆平台补丁及升级服务</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6064D7F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不限</w:t>
            </w:r>
          </w:p>
        </w:tc>
        <w:tc>
          <w:tcPr>
            <w:tcW w:w="925" w:type="dxa"/>
            <w:vMerge w:val="continue"/>
            <w:tcBorders>
              <w:left w:val="single" w:color="auto" w:sz="4" w:space="0"/>
              <w:right w:val="single" w:color="auto" w:sz="4" w:space="0"/>
            </w:tcBorders>
            <w:shd w:val="clear" w:color="auto" w:fill="auto"/>
            <w:vAlign w:val="center"/>
          </w:tcPr>
          <w:p w14:paraId="38C2C7A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p>
        </w:tc>
      </w:tr>
      <w:tr w14:paraId="59BD99EC">
        <w:tblPrEx>
          <w:tblCellMar>
            <w:top w:w="0" w:type="dxa"/>
            <w:left w:w="108" w:type="dxa"/>
            <w:bottom w:w="0" w:type="dxa"/>
            <w:right w:w="108" w:type="dxa"/>
          </w:tblCellMar>
        </w:tblPrEx>
        <w:trPr>
          <w:trHeight w:val="0" w:hRule="atLeast"/>
          <w:jc w:val="center"/>
        </w:trPr>
        <w:tc>
          <w:tcPr>
            <w:tcW w:w="779" w:type="dxa"/>
            <w:vMerge w:val="continue"/>
            <w:tcBorders>
              <w:left w:val="single" w:color="auto" w:sz="4" w:space="0"/>
              <w:right w:val="single" w:color="auto" w:sz="4" w:space="0"/>
            </w:tcBorders>
            <w:shd w:val="clear" w:color="auto" w:fill="auto"/>
            <w:noWrap/>
            <w:vAlign w:val="center"/>
          </w:tcPr>
          <w:p w14:paraId="2E6B8F3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p>
        </w:tc>
        <w:tc>
          <w:tcPr>
            <w:tcW w:w="1379" w:type="dxa"/>
            <w:vMerge w:val="continue"/>
            <w:tcBorders>
              <w:left w:val="single" w:color="auto" w:sz="4" w:space="0"/>
              <w:right w:val="single" w:color="auto" w:sz="4" w:space="0"/>
            </w:tcBorders>
            <w:shd w:val="clear" w:color="auto" w:fill="auto"/>
            <w:vAlign w:val="center"/>
          </w:tcPr>
          <w:p w14:paraId="0186AE3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p>
        </w:tc>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14:paraId="26EB0D2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▲平台切换演练服务</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4BFE6F7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2次</w:t>
            </w:r>
          </w:p>
        </w:tc>
        <w:tc>
          <w:tcPr>
            <w:tcW w:w="925" w:type="dxa"/>
            <w:vMerge w:val="continue"/>
            <w:tcBorders>
              <w:left w:val="single" w:color="auto" w:sz="4" w:space="0"/>
              <w:right w:val="single" w:color="auto" w:sz="4" w:space="0"/>
            </w:tcBorders>
            <w:shd w:val="clear" w:color="auto" w:fill="auto"/>
            <w:vAlign w:val="center"/>
          </w:tcPr>
          <w:p w14:paraId="68FA5DD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p>
        </w:tc>
      </w:tr>
      <w:tr w14:paraId="689978A5">
        <w:tblPrEx>
          <w:tblCellMar>
            <w:top w:w="0" w:type="dxa"/>
            <w:left w:w="108" w:type="dxa"/>
            <w:bottom w:w="0" w:type="dxa"/>
            <w:right w:w="108" w:type="dxa"/>
          </w:tblCellMar>
        </w:tblPrEx>
        <w:trPr>
          <w:trHeight w:val="0" w:hRule="atLeast"/>
          <w:jc w:val="center"/>
        </w:trPr>
        <w:tc>
          <w:tcPr>
            <w:tcW w:w="779" w:type="dxa"/>
            <w:vMerge w:val="continue"/>
            <w:tcBorders>
              <w:left w:val="single" w:color="auto" w:sz="4" w:space="0"/>
              <w:bottom w:val="single" w:color="auto" w:sz="4" w:space="0"/>
              <w:right w:val="single" w:color="auto" w:sz="4" w:space="0"/>
            </w:tcBorders>
            <w:shd w:val="clear" w:color="auto" w:fill="auto"/>
            <w:noWrap/>
            <w:vAlign w:val="center"/>
          </w:tcPr>
          <w:p w14:paraId="099ADF9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p>
        </w:tc>
        <w:tc>
          <w:tcPr>
            <w:tcW w:w="1379" w:type="dxa"/>
            <w:vMerge w:val="continue"/>
            <w:tcBorders>
              <w:left w:val="single" w:color="auto" w:sz="4" w:space="0"/>
              <w:bottom w:val="single" w:color="auto" w:sz="4" w:space="0"/>
              <w:right w:val="single" w:color="auto" w:sz="4" w:space="0"/>
            </w:tcBorders>
            <w:shd w:val="clear" w:color="auto" w:fill="auto"/>
            <w:vAlign w:val="center"/>
          </w:tcPr>
          <w:p w14:paraId="4F0FA86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p>
        </w:tc>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14:paraId="588DFF9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◆2台硬件服务器</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63C4CBC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不限</w:t>
            </w:r>
          </w:p>
        </w:tc>
        <w:tc>
          <w:tcPr>
            <w:tcW w:w="925" w:type="dxa"/>
            <w:vMerge w:val="continue"/>
            <w:tcBorders>
              <w:left w:val="single" w:color="auto" w:sz="4" w:space="0"/>
              <w:bottom w:val="single" w:color="auto" w:sz="4" w:space="0"/>
              <w:right w:val="single" w:color="auto" w:sz="4" w:space="0"/>
            </w:tcBorders>
            <w:shd w:val="clear" w:color="auto" w:fill="auto"/>
            <w:vAlign w:val="center"/>
          </w:tcPr>
          <w:p w14:paraId="26CF22A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p>
        </w:tc>
      </w:tr>
      <w:tr w14:paraId="01DD60D0">
        <w:tblPrEx>
          <w:tblCellMar>
            <w:top w:w="0" w:type="dxa"/>
            <w:left w:w="108" w:type="dxa"/>
            <w:bottom w:w="0" w:type="dxa"/>
            <w:right w:w="108" w:type="dxa"/>
          </w:tblCellMar>
        </w:tblPrEx>
        <w:trPr>
          <w:trHeight w:val="0" w:hRule="atLeast"/>
          <w:jc w:val="center"/>
        </w:trPr>
        <w:tc>
          <w:tcPr>
            <w:tcW w:w="77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EA800A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1.2.2</w:t>
            </w:r>
          </w:p>
        </w:tc>
        <w:tc>
          <w:tcPr>
            <w:tcW w:w="137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927FF3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数据库运维服务</w:t>
            </w:r>
          </w:p>
        </w:tc>
        <w:tc>
          <w:tcPr>
            <w:tcW w:w="3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A842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▲7*24小时远程支持服务</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D38D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不限</w:t>
            </w:r>
          </w:p>
        </w:tc>
        <w:tc>
          <w:tcPr>
            <w:tcW w:w="9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2567F4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1年</w:t>
            </w:r>
          </w:p>
        </w:tc>
      </w:tr>
      <w:tr w14:paraId="3F339536">
        <w:tblPrEx>
          <w:tblCellMar>
            <w:top w:w="0" w:type="dxa"/>
            <w:left w:w="108" w:type="dxa"/>
            <w:bottom w:w="0" w:type="dxa"/>
            <w:right w:w="108" w:type="dxa"/>
          </w:tblCellMar>
        </w:tblPrEx>
        <w:trPr>
          <w:trHeight w:val="0" w:hRule="atLeast"/>
          <w:jc w:val="center"/>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4B9A3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p>
        </w:tc>
        <w:tc>
          <w:tcPr>
            <w:tcW w:w="13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FA6EC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p>
        </w:tc>
        <w:tc>
          <w:tcPr>
            <w:tcW w:w="3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C91A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◆数据库优化服务</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BA5C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按需</w:t>
            </w: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A8546D3">
            <w:pPr>
              <w:snapToGrid w:val="0"/>
              <w:spacing w:before="120" w:after="120" w:line="240" w:lineRule="auto"/>
              <w:ind w:left="0" w:leftChars="0" w:right="0" w:rightChars="0" w:firstLine="0" w:firstLineChars="0"/>
              <w:jc w:val="center"/>
              <w:rPr>
                <w:rFonts w:ascii="Times New Roman" w:hAnsi="仿宋" w:eastAsia="仿宋_GB2312" w:cs="仿宋"/>
                <w:sz w:val="28"/>
              </w:rPr>
            </w:pPr>
          </w:p>
        </w:tc>
      </w:tr>
      <w:tr w14:paraId="44B130A2">
        <w:tblPrEx>
          <w:tblCellMar>
            <w:top w:w="0" w:type="dxa"/>
            <w:left w:w="108" w:type="dxa"/>
            <w:bottom w:w="0" w:type="dxa"/>
            <w:right w:w="108" w:type="dxa"/>
          </w:tblCellMar>
        </w:tblPrEx>
        <w:trPr>
          <w:trHeight w:val="0" w:hRule="atLeast"/>
          <w:jc w:val="center"/>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096E66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p>
        </w:tc>
        <w:tc>
          <w:tcPr>
            <w:tcW w:w="13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A9C47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p>
        </w:tc>
        <w:tc>
          <w:tcPr>
            <w:tcW w:w="3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3661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◆数据库深度健康检查服务</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7AAC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4次</w:t>
            </w: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51C7DB">
            <w:pPr>
              <w:snapToGrid w:val="0"/>
              <w:spacing w:before="120" w:after="120" w:line="240" w:lineRule="auto"/>
              <w:ind w:left="0" w:leftChars="0" w:right="0" w:rightChars="0" w:firstLine="0" w:firstLineChars="0"/>
              <w:jc w:val="center"/>
              <w:rPr>
                <w:rFonts w:ascii="Times New Roman" w:hAnsi="仿宋" w:eastAsia="仿宋_GB2312" w:cs="仿宋"/>
                <w:sz w:val="28"/>
              </w:rPr>
            </w:pPr>
          </w:p>
        </w:tc>
      </w:tr>
      <w:tr w14:paraId="18EEDACB">
        <w:tblPrEx>
          <w:tblCellMar>
            <w:top w:w="0" w:type="dxa"/>
            <w:left w:w="108" w:type="dxa"/>
            <w:bottom w:w="0" w:type="dxa"/>
            <w:right w:w="108" w:type="dxa"/>
          </w:tblCellMar>
        </w:tblPrEx>
        <w:trPr>
          <w:trHeight w:val="0" w:hRule="atLeast"/>
          <w:jc w:val="center"/>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F9F26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p>
        </w:tc>
        <w:tc>
          <w:tcPr>
            <w:tcW w:w="13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D492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p>
        </w:tc>
        <w:tc>
          <w:tcPr>
            <w:tcW w:w="3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E67B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▲数据库现场应急支持服务</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E32E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不限</w:t>
            </w: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83F5AF">
            <w:pPr>
              <w:snapToGrid w:val="0"/>
              <w:spacing w:before="120" w:after="120" w:line="240" w:lineRule="auto"/>
              <w:ind w:left="0" w:leftChars="0" w:right="0" w:rightChars="0" w:firstLine="0" w:firstLineChars="0"/>
              <w:jc w:val="center"/>
              <w:rPr>
                <w:rFonts w:ascii="Times New Roman" w:hAnsi="仿宋" w:eastAsia="仿宋_GB2312" w:cs="仿宋"/>
                <w:sz w:val="28"/>
              </w:rPr>
            </w:pPr>
          </w:p>
        </w:tc>
      </w:tr>
      <w:tr w14:paraId="1E056418">
        <w:tblPrEx>
          <w:tblCellMar>
            <w:top w:w="0" w:type="dxa"/>
            <w:left w:w="108" w:type="dxa"/>
            <w:bottom w:w="0" w:type="dxa"/>
            <w:right w:w="108" w:type="dxa"/>
          </w:tblCellMar>
        </w:tblPrEx>
        <w:trPr>
          <w:trHeight w:val="0" w:hRule="atLeast"/>
          <w:jc w:val="center"/>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9A3FA3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p>
        </w:tc>
        <w:tc>
          <w:tcPr>
            <w:tcW w:w="13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788EC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p>
        </w:tc>
        <w:tc>
          <w:tcPr>
            <w:tcW w:w="3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F5B9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数据库迁移服务</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A643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按需</w:t>
            </w: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38C934">
            <w:pPr>
              <w:snapToGrid w:val="0"/>
              <w:spacing w:before="120" w:after="120" w:line="240" w:lineRule="auto"/>
              <w:ind w:left="0" w:leftChars="0" w:right="0" w:rightChars="0" w:firstLine="0" w:firstLineChars="0"/>
              <w:jc w:val="center"/>
              <w:rPr>
                <w:rFonts w:ascii="Times New Roman" w:hAnsi="仿宋" w:eastAsia="仿宋_GB2312" w:cs="仿宋"/>
                <w:sz w:val="28"/>
              </w:rPr>
            </w:pPr>
          </w:p>
        </w:tc>
      </w:tr>
      <w:tr w14:paraId="2FFDA10F">
        <w:tblPrEx>
          <w:tblCellMar>
            <w:top w:w="0" w:type="dxa"/>
            <w:left w:w="108" w:type="dxa"/>
            <w:bottom w:w="0" w:type="dxa"/>
            <w:right w:w="108" w:type="dxa"/>
          </w:tblCellMar>
        </w:tblPrEx>
        <w:trPr>
          <w:trHeight w:val="0" w:hRule="atLeast"/>
          <w:jc w:val="center"/>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9198D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p>
        </w:tc>
        <w:tc>
          <w:tcPr>
            <w:tcW w:w="13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B085B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p>
        </w:tc>
        <w:tc>
          <w:tcPr>
            <w:tcW w:w="3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B79D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数据库升级及补丁修复服务</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E523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按需</w:t>
            </w: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317647">
            <w:pPr>
              <w:snapToGrid w:val="0"/>
              <w:spacing w:before="120" w:after="120" w:line="240" w:lineRule="auto"/>
              <w:ind w:left="0" w:leftChars="0" w:right="0" w:rightChars="0" w:firstLine="0" w:firstLineChars="0"/>
              <w:jc w:val="center"/>
              <w:rPr>
                <w:rFonts w:ascii="Times New Roman" w:hAnsi="仿宋" w:eastAsia="仿宋_GB2312" w:cs="仿宋"/>
                <w:sz w:val="28"/>
              </w:rPr>
            </w:pPr>
          </w:p>
        </w:tc>
      </w:tr>
      <w:tr w14:paraId="74A45984">
        <w:tblPrEx>
          <w:tblCellMar>
            <w:top w:w="0" w:type="dxa"/>
            <w:left w:w="108" w:type="dxa"/>
            <w:bottom w:w="0" w:type="dxa"/>
            <w:right w:w="108" w:type="dxa"/>
          </w:tblCellMar>
        </w:tblPrEx>
        <w:trPr>
          <w:trHeight w:val="0" w:hRule="atLeast"/>
          <w:jc w:val="center"/>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8B369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p>
        </w:tc>
        <w:tc>
          <w:tcPr>
            <w:tcW w:w="13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D0C11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p>
        </w:tc>
        <w:tc>
          <w:tcPr>
            <w:tcW w:w="3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2EB9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数据库备份与恢复服务</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C86F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2次</w:t>
            </w: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A54550">
            <w:pPr>
              <w:snapToGrid w:val="0"/>
              <w:spacing w:before="120" w:after="120" w:line="240" w:lineRule="auto"/>
              <w:ind w:left="0" w:leftChars="0" w:right="0" w:rightChars="0" w:firstLine="0" w:firstLineChars="0"/>
              <w:jc w:val="center"/>
              <w:rPr>
                <w:rFonts w:ascii="Times New Roman" w:hAnsi="仿宋" w:eastAsia="仿宋_GB2312" w:cs="仿宋"/>
                <w:sz w:val="28"/>
              </w:rPr>
            </w:pPr>
          </w:p>
        </w:tc>
      </w:tr>
      <w:tr w14:paraId="08C95A10">
        <w:tblPrEx>
          <w:tblCellMar>
            <w:top w:w="0" w:type="dxa"/>
            <w:left w:w="108" w:type="dxa"/>
            <w:bottom w:w="0" w:type="dxa"/>
            <w:right w:w="108" w:type="dxa"/>
          </w:tblCellMar>
        </w:tblPrEx>
        <w:trPr>
          <w:trHeight w:val="0" w:hRule="atLeast"/>
          <w:jc w:val="center"/>
        </w:trPr>
        <w:tc>
          <w:tcPr>
            <w:tcW w:w="7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7D6AD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p>
        </w:tc>
        <w:tc>
          <w:tcPr>
            <w:tcW w:w="13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CD610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p>
        </w:tc>
        <w:tc>
          <w:tcPr>
            <w:tcW w:w="3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F5D4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数据库培训服务</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83FF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2次</w:t>
            </w: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1D71AC">
            <w:pPr>
              <w:snapToGrid w:val="0"/>
              <w:spacing w:before="120" w:after="120" w:line="240" w:lineRule="auto"/>
              <w:ind w:left="0" w:leftChars="0" w:right="0" w:rightChars="0" w:firstLine="0" w:firstLineChars="0"/>
              <w:jc w:val="center"/>
              <w:rPr>
                <w:rFonts w:ascii="Times New Roman" w:hAnsi="仿宋" w:eastAsia="仿宋_GB2312" w:cs="仿宋"/>
                <w:sz w:val="28"/>
              </w:rPr>
            </w:pPr>
          </w:p>
        </w:tc>
      </w:tr>
    </w:tbl>
    <w:p w14:paraId="42068FC1"/>
    <w:p w14:paraId="57E7C4E7">
      <w:pPr>
        <w:pStyle w:val="1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40" w:lineRule="exact"/>
        <w:ind w:left="0" w:leftChars="0" w:right="0" w:rightChars="0" w:firstLine="640" w:firstLineChars="200"/>
        <w:textAlignment w:val="auto"/>
        <w:outlineLvl w:val="0"/>
        <w:rPr>
          <w:rFonts w:hint="eastAsia" w:ascii="黑体" w:hAnsi="黑体" w:eastAsia="黑体" w:cs="黑体"/>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黑体" w:hAnsi="黑体" w:eastAsia="黑体" w:cs="黑体"/>
          <w:i w:val="0"/>
          <w:iCs w:val="0"/>
          <w:caps w:val="0"/>
          <w:color w:val="000000" w:themeColor="text1"/>
          <w:spacing w:val="0"/>
          <w:kern w:val="2"/>
          <w:sz w:val="32"/>
          <w:szCs w:val="32"/>
          <w:shd w:val="clear" w:fill="FFFFFF"/>
          <w:lang w:val="en-US" w:eastAsia="zh-CN" w:bidi="ar-SA"/>
          <w14:textFill>
            <w14:solidFill>
              <w14:schemeClr w14:val="tx1"/>
            </w14:solidFill>
          </w14:textFill>
        </w:rPr>
        <w:t>技术服务要求</w:t>
      </w:r>
    </w:p>
    <w:p w14:paraId="70742C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outlineLvl w:val="1"/>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2.1数据库智能运维平台维保</w:t>
      </w:r>
    </w:p>
    <w:p w14:paraId="28B597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bookmarkStart w:id="0" w:name="_Toc151385007"/>
      <w:bookmarkStart w:id="1" w:name="_Toc17368251"/>
      <w:r>
        <w:rPr>
          <w:rFonts w:hint="eastAsia" w:ascii="Times New Roman" w:hAnsi="Times New Roman" w:eastAsia="仿宋_GB2312" w:cs="Times New Roman"/>
          <w:b w:val="0"/>
          <w:bCs w:val="0"/>
          <w:color w:val="auto"/>
          <w:sz w:val="32"/>
          <w:szCs w:val="32"/>
          <w:lang w:val="en-US" w:eastAsia="zh-CN"/>
        </w:rPr>
        <w:t>2.1.1</w:t>
      </w:r>
      <w:bookmarkEnd w:id="0"/>
      <w:bookmarkEnd w:id="1"/>
      <w:r>
        <w:rPr>
          <w:rFonts w:hint="eastAsia" w:ascii="Times New Roman" w:hAnsi="Times New Roman" w:eastAsia="仿宋_GB2312" w:cs="Times New Roman"/>
          <w:b w:val="0"/>
          <w:bCs w:val="0"/>
          <w:color w:val="auto"/>
          <w:sz w:val="32"/>
          <w:szCs w:val="32"/>
          <w:lang w:val="en-US" w:eastAsia="zh-CN"/>
        </w:rPr>
        <w:t xml:space="preserve"> 7*24小时远程支持服务</w:t>
      </w:r>
    </w:p>
    <w:p w14:paraId="094322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针对数据库智能运维平台，需要供应商提供7*24小时的响应服务，包括以服务台形式提供的热线电话、邮件等形式支持服务。</w:t>
      </w:r>
    </w:p>
    <w:p w14:paraId="4FA18FC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bookmarkStart w:id="2" w:name="_Toc151385010"/>
      <w:bookmarkStart w:id="3" w:name="_Toc88223707"/>
      <w:r>
        <w:rPr>
          <w:rFonts w:hint="eastAsia" w:ascii="Times New Roman" w:hAnsi="Times New Roman" w:eastAsia="仿宋_GB2312" w:cs="Times New Roman"/>
          <w:b w:val="0"/>
          <w:bCs w:val="0"/>
          <w:color w:val="auto"/>
          <w:sz w:val="32"/>
          <w:szCs w:val="32"/>
          <w:lang w:val="en-US" w:eastAsia="zh-CN"/>
        </w:rPr>
        <w:t>2.1.2</w:t>
      </w:r>
      <w:bookmarkEnd w:id="2"/>
      <w:bookmarkEnd w:id="3"/>
      <w:r>
        <w:rPr>
          <w:rFonts w:hint="eastAsia" w:ascii="Times New Roman" w:hAnsi="Times New Roman" w:eastAsia="仿宋_GB2312" w:cs="Times New Roman"/>
          <w:b w:val="0"/>
          <w:bCs w:val="0"/>
          <w:color w:val="auto"/>
          <w:sz w:val="32"/>
          <w:szCs w:val="32"/>
          <w:lang w:val="en-US" w:eastAsia="zh-CN"/>
        </w:rPr>
        <w:t>平台补丁及升级服务</w:t>
      </w:r>
    </w:p>
    <w:p w14:paraId="3F1E88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所有补丁更新、版本升级操作均需基于数据库智能运维平台原有技术架构，完全兼容平台已支持的各类数据库、操作系统以及硬件平台，不得因操作导致平台与原有软硬件环境的兼容性失效、原有功能缺失。</w:t>
      </w:r>
    </w:p>
    <w:p w14:paraId="3BB632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2.1.3平台切换演练服务</w:t>
      </w:r>
    </w:p>
    <w:p w14:paraId="155C41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按照预设场景分步实施演练，严格执行平台切换操作流程，支持WEB 界面、后台命令行两种切换方式，验证平台一键切换、独立切换、跨网络切换等功能的有效性，确保切换时间符合 5 分钟内的要求。</w:t>
      </w:r>
    </w:p>
    <w:p w14:paraId="38F87F0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清理演练过程中产生的临时数据、配置，恢复演练前的系统环境，确保生产系统、容灾平台均恢复至正常运行状态。</w:t>
      </w:r>
    </w:p>
    <w:p w14:paraId="577D65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2.1.4 硬件服务器</w:t>
      </w:r>
    </w:p>
    <w:p w14:paraId="0762E1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维保期间，设备所有硬件组件因自然损耗、故障导致无法正常运行的，服务方免费更换原厂全新正品配件。</w:t>
      </w:r>
    </w:p>
    <w:p w14:paraId="031575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所有维保操作（如巡检、故障修复、配件更换、固件升级）均需与数据库智能运维平台软件做好协同，操作前需对数据库智能运维平台进行快照备份，确保操作过程中平台数据零丢失，操作后需验证平台所有功能正常。</w:t>
      </w:r>
    </w:p>
    <w:p w14:paraId="490237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outlineLvl w:val="1"/>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2.2数据库运维服务</w:t>
      </w:r>
    </w:p>
    <w:p w14:paraId="0BBFD4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2.2.1 7*24小时远程支持服务</w:t>
      </w:r>
    </w:p>
    <w:p w14:paraId="7A8A38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提供7天*24小时的全天候电话技术支持服务，以热线方式及时、准确地帮助医院解决数据库在运维过程中遇到的各种疑难和紧急的问题，并提供相应的技术经验，对用户的问题进行技术指导及建议。</w:t>
      </w:r>
    </w:p>
    <w:p w14:paraId="532C03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2.2.2数据库优化服务</w:t>
      </w:r>
    </w:p>
    <w:p w14:paraId="2D0727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 xml:space="preserve">供应商需要重点优化应用层面和数据库层面两个维度的性能指标要求：     </w:t>
      </w:r>
    </w:p>
    <w:p w14:paraId="3D6162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应用层面的性能指标指的是从应用客户角度，能衡量的性能指标，例如HIS、电子病例数据库系统需要在多长时间内跑完报表。</w:t>
      </w:r>
    </w:p>
    <w:p w14:paraId="109FC1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技术层面的指标指的是Oracle数据库的性能指标，如SQL执行效率、平均事务响应时间、操作系统CPU idle值等。</w:t>
      </w:r>
    </w:p>
    <w:p w14:paraId="0A421A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2.2.3数据库深度健康检查服务</w:t>
      </w:r>
    </w:p>
    <w:p w14:paraId="02CE28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为了消除故障，缩短故障历时，提高数据库运行性能，需要供应商将针对目标数据库系统提供季度健康检查服务。</w:t>
      </w:r>
    </w:p>
    <w:p w14:paraId="2936C0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2.2.4数据现场应急支持服务</w:t>
      </w:r>
    </w:p>
    <w:p w14:paraId="4BC1379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在整个服务期内，如果数据库发生对业务产生重大影响的数据库层面问题，服务方工程师队伍需要启动紧急相应流程，调派工程师，第一时间赶往现场，确保客户的系统尽快恢复，对于紧急响应的服务次数和服务时间不作限制。</w:t>
      </w:r>
    </w:p>
    <w:p w14:paraId="45AF3F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2.2.5数据库迁移服务</w:t>
      </w:r>
    </w:p>
    <w:p w14:paraId="12440B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通过数据库迁移服务，在规定服务期内，将数据库安全、高效地迁移目标服务器上，并确保数据零丢失。保障数据库的迁移前、迁移中、迁移后的系统正常和数据安全。</w:t>
      </w:r>
    </w:p>
    <w:p w14:paraId="3872E18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2.2.6数据库升级及补丁修复服务</w:t>
      </w:r>
    </w:p>
    <w:p w14:paraId="22BF16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通过数据库小版本升级及补丁修服务，结合当前数据库系统的最新补丁情况，为客户的新系统提供安装建议，从而提供数据库最安全可靠，适合应用的数据库、补丁安装服务。</w:t>
      </w:r>
    </w:p>
    <w:p w14:paraId="5DB6F8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2.2.7数据库备份与恢复服务</w:t>
      </w:r>
    </w:p>
    <w:p w14:paraId="48A78F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通过数据库备份与恢复服务，可以提前评估各数据库备份有效性，预估数据库恢复时间，进而提高业务可用性。</w:t>
      </w:r>
    </w:p>
    <w:p w14:paraId="4523CA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2.2.8数据库培训服务</w:t>
      </w:r>
    </w:p>
    <w:p w14:paraId="4693DE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在整个服务过程中，和用户制定完整的培训计划，定期组织专项培训，针对系统的运维、使用、调优等多种场景进行专场培训，确保相关运维人员、业务使用人员等均可以对自己负责的模块有充分的掌握，对底层运行机制进行了解，能够处理系统运行过程中遇到的问题。</w:t>
      </w:r>
    </w:p>
    <w:p w14:paraId="17982DA2">
      <w:pPr>
        <w:pStyle w:val="1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40" w:lineRule="exact"/>
        <w:ind w:left="0" w:leftChars="0" w:right="0" w:rightChars="0" w:firstLine="640" w:firstLineChars="200"/>
        <w:textAlignment w:val="auto"/>
        <w:outlineLvl w:val="0"/>
        <w:rPr>
          <w:rFonts w:hint="eastAsia" w:ascii="黑体" w:hAnsi="黑体" w:eastAsia="黑体" w:cs="黑体"/>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黑体" w:hAnsi="黑体" w:eastAsia="黑体" w:cs="黑体"/>
          <w:i w:val="0"/>
          <w:iCs w:val="0"/>
          <w:caps w:val="0"/>
          <w:color w:val="000000" w:themeColor="text1"/>
          <w:spacing w:val="0"/>
          <w:kern w:val="2"/>
          <w:sz w:val="32"/>
          <w:szCs w:val="32"/>
          <w:shd w:val="clear" w:fill="FFFFFF"/>
          <w:lang w:val="en-US" w:eastAsia="zh-CN" w:bidi="ar-SA"/>
          <w14:textFill>
            <w14:solidFill>
              <w14:schemeClr w14:val="tx1"/>
            </w14:solidFill>
          </w14:textFill>
        </w:rPr>
        <w:t>评分标准</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393"/>
        <w:gridCol w:w="5724"/>
        <w:gridCol w:w="556"/>
      </w:tblGrid>
      <w:tr w14:paraId="54DF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49" w:type="dxa"/>
            <w:vAlign w:val="center"/>
          </w:tcPr>
          <w:p w14:paraId="3855609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val="0"/>
                <w:color w:val="auto"/>
                <w:sz w:val="28"/>
                <w:szCs w:val="28"/>
                <w:lang w:val="en-US" w:eastAsia="zh-CN"/>
              </w:rPr>
            </w:pPr>
            <w:r>
              <w:rPr>
                <w:rFonts w:hint="eastAsia" w:ascii="Times New Roman" w:hAnsi="Times New Roman" w:eastAsia="仿宋_GB2312" w:cs="Times New Roman"/>
                <w:b/>
                <w:bCs w:val="0"/>
                <w:color w:val="auto"/>
                <w:sz w:val="28"/>
                <w:szCs w:val="28"/>
                <w:lang w:val="en-US" w:eastAsia="zh-CN"/>
              </w:rPr>
              <w:t>序号</w:t>
            </w:r>
          </w:p>
        </w:tc>
        <w:tc>
          <w:tcPr>
            <w:tcW w:w="1393" w:type="dxa"/>
            <w:vAlign w:val="center"/>
          </w:tcPr>
          <w:p w14:paraId="09F927B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val="0"/>
                <w:color w:val="auto"/>
                <w:sz w:val="28"/>
                <w:szCs w:val="28"/>
                <w:lang w:val="en-US" w:eastAsia="zh-CN"/>
              </w:rPr>
            </w:pPr>
            <w:r>
              <w:rPr>
                <w:rFonts w:hint="eastAsia" w:ascii="Times New Roman" w:hAnsi="Times New Roman" w:eastAsia="仿宋_GB2312" w:cs="Times New Roman"/>
                <w:b/>
                <w:bCs w:val="0"/>
                <w:color w:val="auto"/>
                <w:sz w:val="28"/>
                <w:szCs w:val="28"/>
                <w:lang w:val="en-US" w:eastAsia="zh-CN"/>
              </w:rPr>
              <w:t>评审因素</w:t>
            </w:r>
          </w:p>
        </w:tc>
        <w:tc>
          <w:tcPr>
            <w:tcW w:w="5724" w:type="dxa"/>
            <w:vAlign w:val="center"/>
          </w:tcPr>
          <w:p w14:paraId="0A18D1A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val="0"/>
                <w:color w:val="auto"/>
                <w:sz w:val="28"/>
                <w:szCs w:val="28"/>
                <w:lang w:val="en-US" w:eastAsia="zh-CN"/>
              </w:rPr>
            </w:pPr>
            <w:r>
              <w:rPr>
                <w:rFonts w:hint="eastAsia" w:ascii="Times New Roman" w:hAnsi="Times New Roman" w:eastAsia="仿宋_GB2312" w:cs="Times New Roman"/>
                <w:b/>
                <w:bCs w:val="0"/>
                <w:color w:val="auto"/>
                <w:sz w:val="28"/>
                <w:szCs w:val="28"/>
                <w:lang w:val="en-US" w:eastAsia="zh-CN"/>
              </w:rPr>
              <w:t>评审因素具体内容</w:t>
            </w:r>
          </w:p>
        </w:tc>
        <w:tc>
          <w:tcPr>
            <w:tcW w:w="556" w:type="dxa"/>
            <w:vAlign w:val="center"/>
          </w:tcPr>
          <w:p w14:paraId="34CBA8F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val="0"/>
                <w:color w:val="auto"/>
                <w:sz w:val="28"/>
                <w:szCs w:val="28"/>
                <w:lang w:val="en-US" w:eastAsia="zh-CN"/>
              </w:rPr>
            </w:pPr>
            <w:r>
              <w:rPr>
                <w:rFonts w:hint="eastAsia" w:ascii="Times New Roman" w:hAnsi="Times New Roman" w:eastAsia="仿宋_GB2312" w:cs="Times New Roman"/>
                <w:b/>
                <w:bCs w:val="0"/>
                <w:color w:val="auto"/>
                <w:sz w:val="28"/>
                <w:szCs w:val="28"/>
                <w:lang w:val="en-US" w:eastAsia="zh-CN"/>
              </w:rPr>
              <w:t>分值</w:t>
            </w:r>
          </w:p>
        </w:tc>
      </w:tr>
      <w:tr w14:paraId="00B8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Align w:val="center"/>
          </w:tcPr>
          <w:p w14:paraId="4795C0D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w:t>
            </w:r>
          </w:p>
        </w:tc>
        <w:tc>
          <w:tcPr>
            <w:tcW w:w="1393" w:type="dxa"/>
            <w:vAlign w:val="center"/>
          </w:tcPr>
          <w:p w14:paraId="4E538EC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价格分</w:t>
            </w:r>
          </w:p>
        </w:tc>
        <w:tc>
          <w:tcPr>
            <w:tcW w:w="5724" w:type="dxa"/>
            <w:vAlign w:val="center"/>
          </w:tcPr>
          <w:p w14:paraId="395458B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本项目为专门面向中小企业采购的项目，按照《政府采购促进中小企业发展管理办法》（财库〔2020〕46号）规定，小微企业、监狱企业、残疾人福利性单位不享受价格扣除优惠政策，即评审价=最后报价。</w:t>
            </w:r>
            <w:r>
              <w:rPr>
                <w:rFonts w:hint="eastAsia" w:ascii="Times New Roman" w:hAnsi="Times New Roman" w:eastAsia="仿宋_GB2312" w:cs="Times New Roman"/>
                <w:b w:val="0"/>
                <w:bCs w:val="0"/>
                <w:color w:val="auto"/>
                <w:sz w:val="28"/>
                <w:szCs w:val="28"/>
                <w:lang w:val="en-US" w:eastAsia="zh-CN"/>
              </w:rPr>
              <w:br w:type="textWrapping"/>
            </w:r>
            <w:r>
              <w:rPr>
                <w:rFonts w:hint="eastAsia" w:ascii="Times New Roman" w:hAnsi="Times New Roman" w:eastAsia="仿宋_GB2312" w:cs="Times New Roman"/>
                <w:b w:val="0"/>
                <w:bCs w:val="0"/>
                <w:color w:val="auto"/>
                <w:sz w:val="28"/>
                <w:szCs w:val="28"/>
                <w:lang w:val="en-US" w:eastAsia="zh-CN"/>
              </w:rPr>
              <w:t>1.以进入比较与评价环节的最低的评审价为基准价，基准价得分为30分。</w:t>
            </w:r>
          </w:p>
          <w:p w14:paraId="3471D1A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2.价格分计算公式：</w:t>
            </w:r>
          </w:p>
          <w:p w14:paraId="04CF1FD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 xml:space="preserve">报价得分=（基准价/最后报价）×30分 </w:t>
            </w:r>
          </w:p>
        </w:tc>
        <w:tc>
          <w:tcPr>
            <w:tcW w:w="556" w:type="dxa"/>
            <w:vAlign w:val="center"/>
          </w:tcPr>
          <w:p w14:paraId="41D02B6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30分</w:t>
            </w:r>
          </w:p>
        </w:tc>
      </w:tr>
      <w:tr w14:paraId="5144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EB1149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2</w:t>
            </w:r>
          </w:p>
        </w:tc>
        <w:tc>
          <w:tcPr>
            <w:tcW w:w="1393" w:type="dxa"/>
            <w:vMerge w:val="restart"/>
            <w:vAlign w:val="center"/>
          </w:tcPr>
          <w:p w14:paraId="6677484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技术分</w:t>
            </w:r>
          </w:p>
        </w:tc>
        <w:tc>
          <w:tcPr>
            <w:tcW w:w="6280" w:type="dxa"/>
            <w:gridSpan w:val="2"/>
            <w:vAlign w:val="center"/>
          </w:tcPr>
          <w:p w14:paraId="7389575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评审因素</w:t>
            </w:r>
          </w:p>
        </w:tc>
      </w:tr>
      <w:tr w14:paraId="4B0D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EBDF4C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val="0"/>
                <w:bCs w:val="0"/>
                <w:color w:val="auto"/>
                <w:sz w:val="28"/>
                <w:szCs w:val="28"/>
                <w:lang w:val="en-US" w:eastAsia="zh-CN"/>
              </w:rPr>
            </w:pPr>
          </w:p>
        </w:tc>
        <w:tc>
          <w:tcPr>
            <w:tcW w:w="1393" w:type="dxa"/>
            <w:vMerge w:val="continue"/>
            <w:vAlign w:val="center"/>
          </w:tcPr>
          <w:p w14:paraId="75D0D8E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val="0"/>
                <w:bCs w:val="0"/>
                <w:color w:val="auto"/>
                <w:sz w:val="28"/>
                <w:szCs w:val="28"/>
                <w:lang w:val="en-US" w:eastAsia="zh-CN"/>
              </w:rPr>
            </w:pPr>
          </w:p>
        </w:tc>
        <w:tc>
          <w:tcPr>
            <w:tcW w:w="5724" w:type="dxa"/>
            <w:vAlign w:val="center"/>
          </w:tcPr>
          <w:p w14:paraId="272EA37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（1）项目实施方案分（满分10分）</w:t>
            </w:r>
          </w:p>
          <w:p w14:paraId="6254870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评委根据各投标人是否准确掌握项目要求，目标定位是否合理，服务内容是否针对项目设置要求，服务设置是否贴近实际等情况进行讨论定档，需体现符合医院实际需求的数据库整体拓扑图、数据库容灾规划架构图、数据库备份规划架构图。评委在相应档次内独立打分。</w:t>
            </w:r>
          </w:p>
          <w:p w14:paraId="75F41B8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一档（10分）：优秀，服务目标定位合理清晰，内容详细完整，针对性强，根据服务实际需求进行设计，项目实施节点明确，服务内容具体等，能有效提高项目的实施进度。</w:t>
            </w:r>
          </w:p>
          <w:p w14:paraId="0DC2C0C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二档（5分）：良好，服务目标定位合理，服务内容详细完整，逻辑关系清晰，有一定的针对性。</w:t>
            </w:r>
          </w:p>
          <w:p w14:paraId="6A2C14D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三档（2分）：一般，服务围绕服务目标和服务内容展开，内容完整。</w:t>
            </w:r>
            <w:r>
              <w:rPr>
                <w:rFonts w:hint="eastAsia" w:ascii="Times New Roman" w:hAnsi="Times New Roman" w:eastAsia="仿宋_GB2312" w:cs="Times New Roman"/>
                <w:b w:val="0"/>
                <w:bCs w:val="0"/>
                <w:color w:val="auto"/>
                <w:sz w:val="28"/>
                <w:szCs w:val="28"/>
                <w:lang w:val="en-US" w:eastAsia="zh-CN"/>
              </w:rPr>
              <w:br w:type="textWrapping"/>
            </w:r>
            <w:r>
              <w:rPr>
                <w:rFonts w:hint="eastAsia" w:ascii="Times New Roman" w:hAnsi="Times New Roman" w:eastAsia="仿宋_GB2312" w:cs="Times New Roman"/>
                <w:b w:val="0"/>
                <w:bCs w:val="0"/>
                <w:color w:val="auto"/>
                <w:sz w:val="28"/>
                <w:szCs w:val="28"/>
                <w:lang w:val="en-US" w:eastAsia="zh-CN"/>
              </w:rPr>
              <w:t>注：未提供不得分。</w:t>
            </w:r>
            <w:r>
              <w:rPr>
                <w:rFonts w:hint="eastAsia" w:ascii="Times New Roman" w:hAnsi="Times New Roman" w:eastAsia="仿宋_GB2312" w:cs="Times New Roman"/>
                <w:b w:val="0"/>
                <w:bCs w:val="0"/>
                <w:color w:val="auto"/>
                <w:sz w:val="28"/>
                <w:szCs w:val="28"/>
                <w:lang w:val="en-US" w:eastAsia="zh-CN"/>
              </w:rPr>
              <w:br w:type="textWrapping"/>
            </w:r>
            <w:r>
              <w:rPr>
                <w:rFonts w:hint="eastAsia" w:ascii="Times New Roman" w:hAnsi="Times New Roman" w:eastAsia="仿宋_GB2312" w:cs="Times New Roman"/>
                <w:b w:val="0"/>
                <w:bCs w:val="0"/>
                <w:color w:val="auto"/>
                <w:sz w:val="28"/>
                <w:szCs w:val="28"/>
                <w:lang w:val="en-US" w:eastAsia="zh-CN"/>
              </w:rPr>
              <w:t>（2）服务承诺分（满分10分）</w:t>
            </w:r>
          </w:p>
          <w:p w14:paraId="54A9417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综合比较投标人结合医院实际环境及需求进行评分，提供本次采购要求的数据库所在操作系统信息（包括版本、配置信息等）、数据库信息（包括表空间、数据文件、日志、用户、大型表、大型索引等），能保证现有系统功能正常运行，系统维护管理及其他服务工作正常开展。</w:t>
            </w:r>
          </w:p>
          <w:p w14:paraId="33271B1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一档（10分）：方案科学合理、与项目需求相匹配的。</w:t>
            </w:r>
          </w:p>
          <w:p w14:paraId="09EA895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二档（5分）：方案较合理、与项目需求基本匹配的。</w:t>
            </w:r>
          </w:p>
          <w:p w14:paraId="309FF37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三档（2分）：方案一般、与项目需求匹配差的。</w:t>
            </w:r>
            <w:r>
              <w:rPr>
                <w:rFonts w:hint="eastAsia" w:ascii="Times New Roman" w:hAnsi="Times New Roman" w:eastAsia="仿宋_GB2312" w:cs="Times New Roman"/>
                <w:b w:val="0"/>
                <w:bCs w:val="0"/>
                <w:color w:val="auto"/>
                <w:sz w:val="28"/>
                <w:szCs w:val="28"/>
                <w:lang w:val="en-US" w:eastAsia="zh-CN"/>
              </w:rPr>
              <w:br w:type="textWrapping"/>
            </w:r>
            <w:r>
              <w:rPr>
                <w:rFonts w:hint="eastAsia" w:ascii="Times New Roman" w:hAnsi="Times New Roman" w:eastAsia="仿宋_GB2312" w:cs="Times New Roman"/>
                <w:b w:val="0"/>
                <w:bCs w:val="0"/>
                <w:color w:val="auto"/>
                <w:sz w:val="28"/>
                <w:szCs w:val="28"/>
                <w:lang w:val="en-US" w:eastAsia="zh-CN"/>
              </w:rPr>
              <w:t>注：未提供不得分。</w:t>
            </w:r>
            <w:r>
              <w:rPr>
                <w:rFonts w:hint="eastAsia" w:ascii="Times New Roman" w:hAnsi="Times New Roman" w:eastAsia="仿宋_GB2312" w:cs="Times New Roman"/>
                <w:b w:val="0"/>
                <w:bCs w:val="0"/>
                <w:color w:val="auto"/>
                <w:sz w:val="28"/>
                <w:szCs w:val="28"/>
                <w:lang w:val="en-US" w:eastAsia="zh-CN"/>
              </w:rPr>
              <w:br w:type="textWrapping"/>
            </w:r>
            <w:r>
              <w:rPr>
                <w:rFonts w:hint="eastAsia" w:ascii="Times New Roman" w:hAnsi="Times New Roman" w:eastAsia="仿宋_GB2312" w:cs="Times New Roman"/>
                <w:b w:val="0"/>
                <w:bCs w:val="0"/>
                <w:color w:val="auto"/>
                <w:sz w:val="28"/>
                <w:szCs w:val="28"/>
                <w:lang w:val="en-US" w:eastAsia="zh-CN"/>
              </w:rPr>
              <w:t>（3）技术要求偏离情况（满分25分）</w:t>
            </w:r>
          </w:p>
          <w:p w14:paraId="3A94F8A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技术要求条款偏离情况：“▲”参数为必须满足项，否则作为无效响应处理。“◆”参数每有一项负偏离，扣4分。其他参数每有一项负偏离，扣2分。扣完为止。</w:t>
            </w:r>
          </w:p>
          <w:p w14:paraId="481CB8C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（4）人员团队分（满分15分）</w:t>
            </w:r>
            <w:r>
              <w:rPr>
                <w:rFonts w:hint="eastAsia" w:ascii="Times New Roman" w:hAnsi="Times New Roman" w:eastAsia="仿宋_GB2312" w:cs="Times New Roman"/>
                <w:b w:val="0"/>
                <w:bCs w:val="0"/>
                <w:color w:val="auto"/>
                <w:sz w:val="28"/>
                <w:szCs w:val="28"/>
                <w:lang w:val="en-US" w:eastAsia="zh-CN"/>
              </w:rPr>
              <w:br w:type="textWrapping"/>
            </w:r>
            <w:r>
              <w:rPr>
                <w:rFonts w:hint="eastAsia" w:ascii="Times New Roman" w:hAnsi="Times New Roman" w:eastAsia="仿宋_GB2312" w:cs="Times New Roman"/>
                <w:b w:val="0"/>
                <w:bCs w:val="0"/>
                <w:color w:val="auto"/>
                <w:sz w:val="28"/>
                <w:szCs w:val="28"/>
                <w:lang w:val="en-US" w:eastAsia="zh-CN"/>
              </w:rPr>
              <w:t xml:space="preserve">   拟配备的项目负责人具备人力资源和社会保障部、工业和信息化部颁发的数据库系统工程师（中级）证书基础上，还具备人力资源和社会保障部、工业和信息化部颁发的</w:t>
            </w:r>
            <w:r>
              <w:rPr>
                <w:rFonts w:hint="eastAsia" w:ascii="Times New Roman" w:hAnsi="Times New Roman" w:eastAsia="仿宋_GB2312" w:cs="Times New Roman"/>
                <w:b w:val="0"/>
                <w:bCs w:val="0"/>
                <w:color w:val="auto"/>
                <w:sz w:val="28"/>
                <w:szCs w:val="28"/>
                <w:lang w:val="zh-CN" w:eastAsia="zh-CN"/>
              </w:rPr>
              <w:t>系统架构设计师</w:t>
            </w:r>
            <w:r>
              <w:rPr>
                <w:rFonts w:hint="eastAsia" w:ascii="Times New Roman" w:hAnsi="Times New Roman" w:eastAsia="仿宋_GB2312" w:cs="Times New Roman"/>
                <w:b w:val="0"/>
                <w:bCs w:val="0"/>
                <w:color w:val="auto"/>
                <w:sz w:val="28"/>
                <w:szCs w:val="28"/>
                <w:lang w:val="en-US" w:eastAsia="zh-CN"/>
              </w:rPr>
              <w:t>（高级）证书，得6分。（满分6分）</w:t>
            </w:r>
          </w:p>
          <w:p w14:paraId="3CB8595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除项目负责人外，拟投入项目团队每有1名人力资源和社会保障部、工业和信息化部颁发的数据库系统工程师（中级）证书，得3分，最多得9分(满分9分)。</w:t>
            </w:r>
          </w:p>
          <w:p w14:paraId="71B9511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注：拟投入本项目的以上人员不能重复，响应文件提供相关认证证书复印件（以上证书均要求在有效期内）、含官网网址的证书查询结果截图。投标文件中需提供社保机构出具的响应截止6个月内投标人为其缴纳的连续3个月社保证明材料。并加盖单位公章，否则不计分。</w:t>
            </w:r>
          </w:p>
        </w:tc>
        <w:tc>
          <w:tcPr>
            <w:tcW w:w="556" w:type="dxa"/>
            <w:vAlign w:val="center"/>
          </w:tcPr>
          <w:p w14:paraId="3D99C0D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60分</w:t>
            </w:r>
          </w:p>
        </w:tc>
      </w:tr>
      <w:tr w14:paraId="4113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Align w:val="center"/>
          </w:tcPr>
          <w:p w14:paraId="7D052B5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3</w:t>
            </w:r>
          </w:p>
        </w:tc>
        <w:tc>
          <w:tcPr>
            <w:tcW w:w="1393" w:type="dxa"/>
            <w:vAlign w:val="center"/>
          </w:tcPr>
          <w:p w14:paraId="14F6AC6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商务分</w:t>
            </w:r>
          </w:p>
        </w:tc>
        <w:tc>
          <w:tcPr>
            <w:tcW w:w="5724" w:type="dxa"/>
            <w:vAlign w:val="center"/>
          </w:tcPr>
          <w:p w14:paraId="42CDBC2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1、投标人具有有效的ISO 27701隐私信息安全管理体系认证证书、ISO 22301业务连续性管理体系认证证书的，每提供一项证书得3分，最高得6分。响应文件中须提供有效的证书复印件、国家认证认可监督管理委员会官网或者证书认证机构官网查询截图，否则不得分。不提供，不得分。</w:t>
            </w:r>
          </w:p>
          <w:p w14:paraId="0B7C028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2、投标人自2023年（以合同签订时间为准）以来，每提供一个类似合同案例，得1分，最多得4分。响应文件中须提供投标人合同关键页复印件。</w:t>
            </w:r>
          </w:p>
        </w:tc>
        <w:tc>
          <w:tcPr>
            <w:tcW w:w="556" w:type="dxa"/>
            <w:vAlign w:val="center"/>
          </w:tcPr>
          <w:p w14:paraId="088FD27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10分</w:t>
            </w:r>
          </w:p>
        </w:tc>
      </w:tr>
      <w:tr w14:paraId="16CD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66" w:type="dxa"/>
            <w:gridSpan w:val="3"/>
            <w:vAlign w:val="center"/>
          </w:tcPr>
          <w:p w14:paraId="3EBF346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val="0"/>
                <w:color w:val="auto"/>
                <w:sz w:val="28"/>
                <w:szCs w:val="28"/>
                <w:lang w:val="en-US" w:eastAsia="zh-CN"/>
              </w:rPr>
            </w:pPr>
            <w:r>
              <w:rPr>
                <w:rFonts w:hint="eastAsia" w:ascii="Times New Roman" w:hAnsi="Times New Roman" w:eastAsia="仿宋_GB2312" w:cs="Times New Roman"/>
                <w:b/>
                <w:bCs w:val="0"/>
                <w:color w:val="auto"/>
                <w:sz w:val="28"/>
                <w:szCs w:val="28"/>
                <w:lang w:val="en-US" w:eastAsia="zh-CN"/>
              </w:rPr>
              <w:t>总得分＝1＋2＋3</w:t>
            </w:r>
          </w:p>
        </w:tc>
        <w:tc>
          <w:tcPr>
            <w:tcW w:w="556" w:type="dxa"/>
            <w:vAlign w:val="center"/>
          </w:tcPr>
          <w:p w14:paraId="4677FD0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Times New Roman" w:hAnsi="Times New Roman" w:eastAsia="仿宋_GB2312" w:cs="Times New Roman"/>
                <w:b/>
                <w:bCs w:val="0"/>
                <w:color w:val="auto"/>
                <w:sz w:val="28"/>
                <w:szCs w:val="28"/>
                <w:lang w:val="en-US" w:eastAsia="zh-CN"/>
              </w:rPr>
            </w:pPr>
          </w:p>
        </w:tc>
      </w:tr>
    </w:tbl>
    <w:p w14:paraId="47E4343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评审依据：供应商应根据评分标准制作技术偏离表并进行自评打分作为评价参考，采购小组将以供应商响应文件为评审依据，对供应商的报价、技术、商务等方面内容进行评价打分，以得分最高的供应商作为中标供应商。</w:t>
      </w:r>
    </w:p>
    <w:p w14:paraId="726CE347">
      <w:pPr>
        <w:ind w:firstLine="420" w:firstLineChars="200"/>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2708722"/>
      <w:docPartObj>
        <w:docPartGallery w:val="autotext"/>
      </w:docPartObj>
    </w:sdtPr>
    <w:sdtContent>
      <w:sdt>
        <w:sdtPr>
          <w:id w:val="-1669238322"/>
          <w:docPartObj>
            <w:docPartGallery w:val="autotext"/>
          </w:docPartObj>
        </w:sdtPr>
        <w:sdtContent>
          <w:p w14:paraId="2F888906">
            <w:pPr>
              <w:pStyle w:val="12"/>
              <w:jc w:val="center"/>
            </w:pPr>
            <w:r>
              <w:rPr>
                <w:lang w:val="zh-CN"/>
              </w:rPr>
              <w:t xml:space="preserve"> </w:t>
            </w:r>
            <w:r>
              <w:rPr>
                <w:b/>
                <w:bCs/>
                <w:sz w:val="24"/>
              </w:rPr>
              <w:fldChar w:fldCharType="begin"/>
            </w:r>
            <w:r>
              <w:rPr>
                <w:b/>
                <w:bCs/>
              </w:rPr>
              <w:instrText xml:space="preserve">PAGE</w:instrText>
            </w:r>
            <w:r>
              <w:rPr>
                <w:b/>
                <w:bCs/>
                <w:sz w:val="24"/>
              </w:rPr>
              <w:fldChar w:fldCharType="separate"/>
            </w:r>
            <w:r>
              <w:rPr>
                <w:b/>
                <w:bCs/>
              </w:rPr>
              <w:t>3</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6</w:t>
            </w:r>
            <w:r>
              <w:rPr>
                <w:b/>
                <w:bCs/>
                <w:sz w:val="24"/>
              </w:rPr>
              <w:fldChar w:fldCharType="end"/>
            </w:r>
          </w:p>
        </w:sdtContent>
      </w:sdt>
    </w:sdtContent>
  </w:sdt>
  <w:p w14:paraId="5FA68097">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ADEDF"/>
    <w:multiLevelType w:val="multilevel"/>
    <w:tmpl w:val="803ADEDF"/>
    <w:lvl w:ilvl="0" w:tentative="0">
      <w:start w:val="1"/>
      <w:numFmt w:val="decimal"/>
      <w:pStyle w:val="4"/>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DD03090F"/>
    <w:multiLevelType w:val="singleLevel"/>
    <w:tmpl w:val="DD03090F"/>
    <w:lvl w:ilvl="0" w:tentative="0">
      <w:start w:val="1"/>
      <w:numFmt w:val="decimal"/>
      <w:pStyle w:val="5"/>
      <w:lvlText w:val="(%1)"/>
      <w:lvlJc w:val="left"/>
      <w:pPr>
        <w:ind w:left="425" w:hanging="425"/>
      </w:pPr>
      <w:rPr>
        <w:rFonts w:hint="default"/>
      </w:rPr>
    </w:lvl>
  </w:abstractNum>
  <w:abstractNum w:abstractNumId="2">
    <w:nsid w:val="2E06EFA2"/>
    <w:multiLevelType w:val="singleLevel"/>
    <w:tmpl w:val="2E06EFA2"/>
    <w:lvl w:ilvl="0" w:tentative="0">
      <w:start w:val="1"/>
      <w:numFmt w:val="chineseCounting"/>
      <w:suff w:val="nothing"/>
      <w:lvlText w:val="%1、"/>
      <w:lvlJc w:val="left"/>
      <w:rPr>
        <w:rFonts w:hint="eastAsia" w:ascii="黑体" w:hAnsi="黑体" w:eastAsia="黑体" w:cs="黑体"/>
        <w:b w:val="0"/>
        <w:bCs w:val="0"/>
        <w:sz w:val="32"/>
        <w:szCs w:val="32"/>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zNDQ5ODJlOGQ4YWY3ZWFkMjI5NjA2ZDk2Mzg5M2EifQ=="/>
  </w:docVars>
  <w:rsids>
    <w:rsidRoot w:val="003844BA"/>
    <w:rsid w:val="002F0C91"/>
    <w:rsid w:val="003844BA"/>
    <w:rsid w:val="006E5BFB"/>
    <w:rsid w:val="00773D51"/>
    <w:rsid w:val="007F4156"/>
    <w:rsid w:val="008C15F8"/>
    <w:rsid w:val="009B2468"/>
    <w:rsid w:val="00CF786B"/>
    <w:rsid w:val="00EB14C2"/>
    <w:rsid w:val="00EC2CCC"/>
    <w:rsid w:val="034C37DC"/>
    <w:rsid w:val="055B1FD0"/>
    <w:rsid w:val="05A7683D"/>
    <w:rsid w:val="065444E3"/>
    <w:rsid w:val="065F4421"/>
    <w:rsid w:val="06A24565"/>
    <w:rsid w:val="06E25862"/>
    <w:rsid w:val="07866B35"/>
    <w:rsid w:val="07BB2A18"/>
    <w:rsid w:val="08E231CD"/>
    <w:rsid w:val="08E27CBD"/>
    <w:rsid w:val="09307AB0"/>
    <w:rsid w:val="093D1475"/>
    <w:rsid w:val="0ACD3AB2"/>
    <w:rsid w:val="0AF81B05"/>
    <w:rsid w:val="0CA33BE4"/>
    <w:rsid w:val="0D070EE3"/>
    <w:rsid w:val="0D696CDD"/>
    <w:rsid w:val="0D7B050D"/>
    <w:rsid w:val="0E47157B"/>
    <w:rsid w:val="0F095358"/>
    <w:rsid w:val="0F89541A"/>
    <w:rsid w:val="102B311E"/>
    <w:rsid w:val="1383361A"/>
    <w:rsid w:val="13F07D65"/>
    <w:rsid w:val="15F91BCC"/>
    <w:rsid w:val="16D7550A"/>
    <w:rsid w:val="172A1F97"/>
    <w:rsid w:val="190653E0"/>
    <w:rsid w:val="19982C0A"/>
    <w:rsid w:val="19E35721"/>
    <w:rsid w:val="1A424B3D"/>
    <w:rsid w:val="1A5A20A2"/>
    <w:rsid w:val="1AAF4A8F"/>
    <w:rsid w:val="1AD978A3"/>
    <w:rsid w:val="1B19646E"/>
    <w:rsid w:val="1B631E7E"/>
    <w:rsid w:val="1BA37EDF"/>
    <w:rsid w:val="1D74789D"/>
    <w:rsid w:val="1D816169"/>
    <w:rsid w:val="1F1E5AAA"/>
    <w:rsid w:val="20CC747B"/>
    <w:rsid w:val="211317A9"/>
    <w:rsid w:val="2199523D"/>
    <w:rsid w:val="21E42FF9"/>
    <w:rsid w:val="237834B2"/>
    <w:rsid w:val="23A94AF8"/>
    <w:rsid w:val="23CA2FF6"/>
    <w:rsid w:val="253C57A8"/>
    <w:rsid w:val="25894241"/>
    <w:rsid w:val="25FD5DBC"/>
    <w:rsid w:val="27F03E2A"/>
    <w:rsid w:val="28247630"/>
    <w:rsid w:val="28365711"/>
    <w:rsid w:val="28793E20"/>
    <w:rsid w:val="2976210D"/>
    <w:rsid w:val="29822BE3"/>
    <w:rsid w:val="299235E7"/>
    <w:rsid w:val="29AC1FD3"/>
    <w:rsid w:val="2A9A1E2C"/>
    <w:rsid w:val="2B996587"/>
    <w:rsid w:val="2C1D30CB"/>
    <w:rsid w:val="2C440FC0"/>
    <w:rsid w:val="2CB82A3D"/>
    <w:rsid w:val="2CBB301E"/>
    <w:rsid w:val="2CC969F8"/>
    <w:rsid w:val="2D2F25A7"/>
    <w:rsid w:val="2D4F1E0A"/>
    <w:rsid w:val="2E5C3FC8"/>
    <w:rsid w:val="2EDA6BF3"/>
    <w:rsid w:val="2F340AA1"/>
    <w:rsid w:val="2FFB4E81"/>
    <w:rsid w:val="301937F3"/>
    <w:rsid w:val="30DA72ED"/>
    <w:rsid w:val="32360D14"/>
    <w:rsid w:val="32362346"/>
    <w:rsid w:val="33296443"/>
    <w:rsid w:val="33DC0A4B"/>
    <w:rsid w:val="343147AA"/>
    <w:rsid w:val="348F1BDE"/>
    <w:rsid w:val="361C228F"/>
    <w:rsid w:val="371B5132"/>
    <w:rsid w:val="37ED7A3F"/>
    <w:rsid w:val="38392043"/>
    <w:rsid w:val="38686BC5"/>
    <w:rsid w:val="39DF747F"/>
    <w:rsid w:val="3AED7768"/>
    <w:rsid w:val="3C9A64E3"/>
    <w:rsid w:val="3CAA4150"/>
    <w:rsid w:val="3E0711D4"/>
    <w:rsid w:val="3E5A1BA6"/>
    <w:rsid w:val="3EAE2B98"/>
    <w:rsid w:val="3F283A52"/>
    <w:rsid w:val="4108229F"/>
    <w:rsid w:val="41E56974"/>
    <w:rsid w:val="424F168A"/>
    <w:rsid w:val="44000AFA"/>
    <w:rsid w:val="44210097"/>
    <w:rsid w:val="445A645C"/>
    <w:rsid w:val="452D1DC2"/>
    <w:rsid w:val="46F32B98"/>
    <w:rsid w:val="46FA6AFA"/>
    <w:rsid w:val="4A8050E2"/>
    <w:rsid w:val="4AB33877"/>
    <w:rsid w:val="4D3F6B37"/>
    <w:rsid w:val="4D550108"/>
    <w:rsid w:val="4F2859B3"/>
    <w:rsid w:val="50296092"/>
    <w:rsid w:val="507E7A1A"/>
    <w:rsid w:val="52CC0D6E"/>
    <w:rsid w:val="52ED37E8"/>
    <w:rsid w:val="53173666"/>
    <w:rsid w:val="532A230B"/>
    <w:rsid w:val="54DD56AC"/>
    <w:rsid w:val="551254D1"/>
    <w:rsid w:val="55AE324F"/>
    <w:rsid w:val="55BF35B3"/>
    <w:rsid w:val="56FE711B"/>
    <w:rsid w:val="57072546"/>
    <w:rsid w:val="57CE11E3"/>
    <w:rsid w:val="57D625C6"/>
    <w:rsid w:val="5830269B"/>
    <w:rsid w:val="589F4B42"/>
    <w:rsid w:val="59E85E60"/>
    <w:rsid w:val="5A813D14"/>
    <w:rsid w:val="5B4D6EA8"/>
    <w:rsid w:val="5CD050B5"/>
    <w:rsid w:val="5D186A5C"/>
    <w:rsid w:val="5DA35B48"/>
    <w:rsid w:val="6171498D"/>
    <w:rsid w:val="624C43BB"/>
    <w:rsid w:val="630D370B"/>
    <w:rsid w:val="639B5C2E"/>
    <w:rsid w:val="64104931"/>
    <w:rsid w:val="64470CA7"/>
    <w:rsid w:val="6532420F"/>
    <w:rsid w:val="654905E0"/>
    <w:rsid w:val="654F3237"/>
    <w:rsid w:val="65B35F8F"/>
    <w:rsid w:val="65C43C25"/>
    <w:rsid w:val="66CC622B"/>
    <w:rsid w:val="673010D1"/>
    <w:rsid w:val="67FC59AB"/>
    <w:rsid w:val="68FE74B6"/>
    <w:rsid w:val="6A5F5CCB"/>
    <w:rsid w:val="6F686B45"/>
    <w:rsid w:val="7001163F"/>
    <w:rsid w:val="709972A0"/>
    <w:rsid w:val="744D1894"/>
    <w:rsid w:val="74844CAB"/>
    <w:rsid w:val="761256BC"/>
    <w:rsid w:val="77685980"/>
    <w:rsid w:val="794A5C02"/>
    <w:rsid w:val="79641194"/>
    <w:rsid w:val="79D23B3C"/>
    <w:rsid w:val="79D53210"/>
    <w:rsid w:val="7A0D62A4"/>
    <w:rsid w:val="7B0755B8"/>
    <w:rsid w:val="7B391397"/>
    <w:rsid w:val="7B694BFB"/>
    <w:rsid w:val="7BA2245C"/>
    <w:rsid w:val="7C52743D"/>
    <w:rsid w:val="7C944EF3"/>
    <w:rsid w:val="7D7D2FB2"/>
    <w:rsid w:val="7DE01DA2"/>
    <w:rsid w:val="7E325D7F"/>
    <w:rsid w:val="7EA62A82"/>
    <w:rsid w:val="7F1D55E4"/>
    <w:rsid w:val="7FF6562E"/>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numPr>
        <w:ilvl w:val="0"/>
        <w:numId w:val="1"/>
      </w:numPr>
      <w:spacing w:line="413" w:lineRule="auto"/>
      <w:ind w:firstLine="0"/>
      <w:outlineLvl w:val="2"/>
    </w:pPr>
    <w:rPr>
      <w:b/>
    </w:rPr>
  </w:style>
  <w:style w:type="paragraph" w:styleId="5">
    <w:name w:val="heading 4"/>
    <w:basedOn w:val="1"/>
    <w:next w:val="1"/>
    <w:unhideWhenUsed/>
    <w:qFormat/>
    <w:uiPriority w:val="0"/>
    <w:pPr>
      <w:keepNext/>
      <w:keepLines/>
      <w:numPr>
        <w:ilvl w:val="0"/>
        <w:numId w:val="2"/>
      </w:numPr>
      <w:spacing w:line="372" w:lineRule="auto"/>
      <w:ind w:firstLine="0"/>
      <w:outlineLvl w:val="3"/>
    </w:pPr>
    <w:rPr>
      <w:rFonts w:ascii="Arial" w:hAnsi="Aria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autoRedefine/>
    <w:qFormat/>
    <w:uiPriority w:val="0"/>
    <w:pPr>
      <w:spacing w:before="50" w:beforeLines="50" w:after="50" w:afterLines="50" w:line="480" w:lineRule="auto"/>
      <w:ind w:firstLine="420"/>
      <w:jc w:val="left"/>
    </w:pPr>
    <w:rPr>
      <w:rFonts w:ascii="Arial" w:hAnsi="Arial" w:eastAsia="宋体" w:cs="Times New Roman"/>
      <w:color w:val="000000" w:themeColor="text1"/>
      <w:sz w:val="24"/>
      <w:szCs w:val="21"/>
      <w14:textFill>
        <w14:solidFill>
          <w14:schemeClr w14:val="tx1"/>
        </w14:solidFill>
      </w14:textFill>
    </w:rPr>
  </w:style>
  <w:style w:type="paragraph" w:styleId="8">
    <w:name w:val="annotation text"/>
    <w:basedOn w:val="1"/>
    <w:qFormat/>
    <w:uiPriority w:val="0"/>
    <w:pPr>
      <w:jc w:val="left"/>
    </w:pPr>
  </w:style>
  <w:style w:type="paragraph" w:styleId="9">
    <w:name w:val="Body Text"/>
    <w:basedOn w:val="1"/>
    <w:autoRedefine/>
    <w:qFormat/>
    <w:uiPriority w:val="0"/>
    <w:pPr>
      <w:spacing w:after="120"/>
    </w:pPr>
  </w:style>
  <w:style w:type="paragraph" w:styleId="10">
    <w:name w:val="Plain Text"/>
    <w:basedOn w:val="1"/>
    <w:next w:val="6"/>
    <w:qFormat/>
    <w:uiPriority w:val="0"/>
    <w:rPr>
      <w:rFonts w:ascii="宋体" w:hAnsi="Courier New"/>
      <w:kern w:val="0"/>
      <w:sz w:val="20"/>
      <w:szCs w:val="21"/>
    </w:rPr>
  </w:style>
  <w:style w:type="paragraph" w:styleId="11">
    <w:name w:val="Balloon Text"/>
    <w:basedOn w:val="1"/>
    <w:link w:val="23"/>
    <w:qFormat/>
    <w:uiPriority w:val="0"/>
    <w:rPr>
      <w:sz w:val="18"/>
      <w:szCs w:val="18"/>
    </w:rPr>
  </w:style>
  <w:style w:type="paragraph" w:styleId="12">
    <w:name w:val="footer"/>
    <w:basedOn w:val="1"/>
    <w:link w:val="24"/>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2"/>
    <w:basedOn w:val="1"/>
    <w:next w:val="1"/>
    <w:autoRedefine/>
    <w:unhideWhenUsed/>
    <w:qFormat/>
    <w:uiPriority w:val="39"/>
    <w:pPr>
      <w:ind w:left="240"/>
      <w:jc w:val="left"/>
    </w:pPr>
    <w:rPr>
      <w:rFonts w:ascii="Calibri" w:hAnsi="Calibri" w:cs="Calibri"/>
      <w:smallCaps/>
      <w:sz w:val="20"/>
      <w:szCs w:val="20"/>
    </w:rPr>
  </w:style>
  <w:style w:type="paragraph" w:styleId="15">
    <w:name w:val="Normal (Web)"/>
    <w:basedOn w:val="1"/>
    <w:qFormat/>
    <w:uiPriority w:val="0"/>
    <w:rPr>
      <w:sz w:val="24"/>
    </w:rPr>
  </w:style>
  <w:style w:type="paragraph" w:styleId="16">
    <w:name w:val="Body Text First Indent"/>
    <w:basedOn w:val="9"/>
    <w:autoRedefine/>
    <w:qFormat/>
    <w:uiPriority w:val="0"/>
    <w:pPr>
      <w:spacing w:line="480" w:lineRule="auto"/>
      <w:ind w:firstLine="420" w:firstLineChars="100"/>
    </w:pPr>
    <w:rPr>
      <w:sz w:val="24"/>
    </w:rPr>
  </w:style>
  <w:style w:type="paragraph" w:styleId="19">
    <w:name w:val="List Paragraph"/>
    <w:basedOn w:val="1"/>
    <w:autoRedefine/>
    <w:unhideWhenUsed/>
    <w:qFormat/>
    <w:uiPriority w:val="34"/>
    <w:pPr>
      <w:ind w:firstLine="420"/>
    </w:pPr>
  </w:style>
  <w:style w:type="paragraph" w:customStyle="1" w:styleId="20">
    <w:name w:val="列表段落1"/>
    <w:basedOn w:val="1"/>
    <w:autoRedefine/>
    <w:qFormat/>
    <w:uiPriority w:val="34"/>
    <w:pPr>
      <w:ind w:firstLine="420"/>
    </w:pPr>
    <w:rPr>
      <w:rFonts w:cs="Times New Roman"/>
    </w:rPr>
  </w:style>
  <w:style w:type="paragraph" w:customStyle="1" w:styleId="21">
    <w:name w:val="列出段落1"/>
    <w:basedOn w:val="1"/>
    <w:autoRedefine/>
    <w:qFormat/>
    <w:uiPriority w:val="0"/>
    <w:pPr>
      <w:ind w:firstLine="420" w:firstLineChars="200"/>
    </w:pPr>
  </w:style>
  <w:style w:type="paragraph" w:customStyle="1" w:styleId="2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3">
    <w:name w:val="批注框文本 Char"/>
    <w:basedOn w:val="18"/>
    <w:link w:val="11"/>
    <w:qFormat/>
    <w:uiPriority w:val="0"/>
    <w:rPr>
      <w:rFonts w:asciiTheme="minorHAnsi" w:hAnsiTheme="minorHAnsi" w:eastAsiaTheme="minorEastAsia" w:cstheme="minorBidi"/>
      <w:kern w:val="2"/>
      <w:sz w:val="18"/>
      <w:szCs w:val="18"/>
    </w:rPr>
  </w:style>
  <w:style w:type="character" w:customStyle="1" w:styleId="24">
    <w:name w:val="页脚 Char"/>
    <w:basedOn w:val="18"/>
    <w:link w:val="12"/>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dw</Company>
  <Pages>5</Pages>
  <Words>1686</Words>
  <Characters>1809</Characters>
  <Lines>22</Lines>
  <Paragraphs>6</Paragraphs>
  <TotalTime>1</TotalTime>
  <ScaleCrop>false</ScaleCrop>
  <LinksUpToDate>false</LinksUpToDate>
  <CharactersWithSpaces>1822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2026-03-04T01:36:00Z</dcterms:created>
  <dc:creator>LaoA</dc:creator>
  <cp:lastModifiedBy>囧司徒</cp:lastModifiedBy>
  <dcterms:modified xsi:type="dcterms:W3CDTF">2026-03-06T03:08:15Z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DB383B0C65874ABEA64510257EFADBF3_13</vt:lpwstr>
  </property>
  <property fmtid="{D5CDD505-2E9C-101B-9397-08002B2CF9AE}" pid="4" name="KSOTemplateDocerSaveRecord">
    <vt:lpwstr>eyJoZGlkIjoiMTg3NmYyM2E0OTJjZmJlM2NiNmFmMDhmMTJiYjY5ZDEiLCJ1c2VySWQiOiIxMTY0MzE5MjYzIn0=</vt:lpwstr>
  </property>
</Properties>
</file>