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65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40" w:lineRule="exact"/>
        <w:ind w:lef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“强基赋能” 中医药技师·中药师·康复人才智慧教学能力提升项目需求参数</w:t>
      </w:r>
    </w:p>
    <w:p w14:paraId="7DBA5AE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40" w:lineRule="exact"/>
        <w:ind w:lef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 w14:paraId="4ECC37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0" w:firstLineChars="0"/>
        <w:jc w:val="left"/>
        <w:textAlignment w:val="auto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heading_0"/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整体定位：</w:t>
      </w:r>
      <w:bookmarkEnd w:id="0"/>
    </w:p>
    <w:p w14:paraId="23594FA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适配“蓄才库—优化中医药人员结构”子项目需求，构建支持线上线下结合的智慧教学体系，满足中医药技师、中药师、康复人才各500人次培训需求，涵盖课件制作、录课示教、智慧授课、视频剪辑、资料存储等全流程教学功能，本次清单仅作为市场调研需求依据，无定价信息。</w:t>
      </w:r>
    </w:p>
    <w:tbl>
      <w:tblPr>
        <w:tblStyle w:val="2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741"/>
        <w:gridCol w:w="6442"/>
        <w:gridCol w:w="766"/>
        <w:gridCol w:w="766"/>
      </w:tblGrid>
      <w:tr w14:paraId="2D45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81B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  <w:t>序号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6BE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  <w:t>项目名称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559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  <w:t>具体制作内容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A54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  <w:t>数量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3D3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sz w:val="24"/>
                <w:szCs w:val="24"/>
              </w:rPr>
              <w:t>单位</w:t>
            </w:r>
          </w:p>
        </w:tc>
      </w:tr>
      <w:tr w14:paraId="2CAA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DAE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一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6DA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教学设备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ADF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AB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95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 w14:paraId="5378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3E0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02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精品课件制作支持软件及相关内容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6EA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1. 提供软件系统用于管理课件制作相关指引、人员、计划和脚本，软件系统中需体现课件框架管理功能（用以支持中医基础/骨伤特色/西中结合实操/西中对照等模块的内容对照管理）；2. 提供电子课件制作指引（含图文，用以指引视频录课）。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4A3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AC0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77A5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A05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B58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高清录课摄像机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49E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分辨率4K，主摄像头3000像素或以上，支持视频录制和拍照，电子防抖，可变光圈（最大f/2.0），防水10米或以上，内置存储+配128G存储卡，手柄配件套件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E9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250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6F69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D7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016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领夹麦克风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F8C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迷你无线高品音质，降噪领夹麦克风，支持与所供摄像机配套使用（一拖二，含充电盒）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D9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49C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3DED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05F1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BA9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高清高亮投影设备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81C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支持光学变焦、Wi-Fi连接、无线投屏接收（支持多设备连接，内置Android系统为佳）、六向校正、CVIA 4500lm（或ANSI 4500流明）或以上、搭载AI大模型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6C0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46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0683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B17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46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智慧会议交互终端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5B7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、86英寸或以上，4K或以上分辨率，视频会议、电子白板、多点触控，内置摄像机、麦克风阵列、多单元立体声扬声器，配4支手写笔、移动推车、2个无线扩展麦、2个无线投屏器；2、会议安全保护：全自动物理镜头盖，在非视频会议时可自动关闭；3、支持国产自主的芯片/模块/模组：音频/视频编解码芯片、CPU处理单元、视频输出芯片、电源模块、PCB主板；4、支持通过无线传屏器、有线投屏方式将辅流投屏到主流视频会议平台，实现与本地投屏体验一致；5、支持AI智能构图：自动框人像、语音追踪、画中画（发言者和全景）、人像分割拼接布局、多发言人追踪、视频墙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651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785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4BBE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589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30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台式视频剪辑显示终端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18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屏幕尺寸27英寸或以上，分辨率5K或以上，屏幕比例16:9，HDR400或以上，内置音响，接口带音频/耳机输出、Type-C、HDMI、DP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2A6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57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1D1C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D74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0E0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台式视频剪辑计算终端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E05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支持连接至少2个4K或以上分辨率显示器，至少16核中央处理器、至少40核图形处理器、至少16核神经网络引擎，内存+显存≥64GB，固态硬盘≥2T，需可安装多款主流视频剪辑软件。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84D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F2B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4BF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814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B5E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可移动视频剪辑计算终端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39E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15英寸或以上，至少18核中央处理器、至少20核图形处理器、至少16核神经网络引擎，内存+显存≥24GB，固态硬盘≥1T，自带HDMI、SDXC插槽，需可安装多款主流视频剪辑软件。新机电池满电不插电源时，普通使用续航至少10小时，视频剪辑使用至少2小时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D6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631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06E7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1CF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835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录课/示教支架组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48A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摄像机支架2个+ 手机夹式支架5个（可夹桌面）+投影设备支架1个+录课设备收纳架1个（分层设计）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8CE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A40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组</w:t>
            </w:r>
          </w:p>
        </w:tc>
      </w:tr>
      <w:tr w14:paraId="300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44E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CD1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阅览室数据处理终端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67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一、基本参数1、CPU：≥24核24线程，主频4.4-5.7G，集显，36M缓存； 2、主板：≥15相（12+1+2）供电，支持4DDR5内存接口，显示输出接口：1USB4+1F-HDMI+1DP；3、CPU散热器：360水冷散热，带温度显示方屏； 4、内存：≥64G（32G2），频率≥6000MHz；5、固态硬盘：≥1T（NVME M.2接口）； 6、机械硬盘：≥4000G（SATA接口，5400转）； 7、显卡：2片独立显卡，每片核心频率≥2550MHz，显存频率/速率≥28Gbps，显存大小≥24GB，显存位宽≥384bit，输出接口：DP2.1b3、HDMI2.1b*1，数字分辨率≥7680x4320；8、电源：≥1300W全模组，符合ATX3.1/PCIE5.1标准；9、机箱：M-ATX规格，支持360水冷安装； 10、键鼠：防水抗菌套件；11、显示终端：27寸。二、设备软件1、产品可以纯软件交付，包含管理控制中心软件及终端客户端软件，其中管理控制中心可云化部署；同时也支持硬件管理平台交付；本次提供PC客户端安全防护软件不少于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套；2、单一管理控制中心可统一管理分别部署在WindowsPC、Windows服务器、Linux服务器以及国产化服务器的客户端软件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3F8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C58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7339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93A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0C9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文档输出终端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8FA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参数：A4幅面，黑白打印速度30PPM，首页打印输出8.5秒，处理器266MHz，标配内存32MB，打印分辨率600*600dpi，进纸盒250页+1页，纸张输出容量 100页+1页，鼓粉分离技术，随机墨粉2600页，产品尺寸 356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360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186mm，1年保修。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D0D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4F9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59CD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E1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B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彩色图文输出设备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EFF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参数：便捷：新一代智能操作APP全线升级，智能安装，简易配网；智能：支持便捷智慧打印体验；高效：支持自动双面打印，标配1.44英寸彩色液晶显示屏；海量：标配满容墨水，可实现黑色打印7500页或彩色6000页；安心：原厂保修（含打印头），全国联保；打印分辨率：5760x1440dpi；打印黑色文本(A4)：约33IPM（经济模式），约10.5IPM（标准模式）；打印彩色文本(A4)：约15IPM（经济模式），约5IPM（标准模式）；照片（4x6英寸）：有边距：69秒/页；无边距：92秒/页（标准模式，高质量光泽照片纸）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594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0C2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台</w:t>
            </w:r>
          </w:p>
        </w:tc>
      </w:tr>
      <w:tr w14:paraId="390E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022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23B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档案室业务处理终端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145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1、CPU：≥13代酷睿系列同级处理器（≥10核16线程）；2、主板：不低于同级别主流芯片组；3、内存：≥16G DDR42，2个内存插槽；4、硬盘：≥512G M.2 SSD；机械硬盘≥1T；5、网卡：集成10M/100/1000MB自适应网卡；6、显卡：独立显卡，显存≥4G；7、扩展槽：1个PCI-E16、1个PCI-E1 ；接口：11个USB接口，其中前置4个USB3.2 Gen1、后置4个USB3.2 Gen1、2个USB2.0、1个USB3.2 Gen2 Type-C接口，1个RJ45接口，1个HDMI接口，1个DP接口；8、声卡：集成5.1声道声卡（提供前2后3音频接口）；9、同系列显示终端：≥23.8英寸WLED显示终端，分辨率19201080（16：9）；10、机箱：标准MATX立式机箱，机箱≥15L，顶置电源开关键，方便使用；11、电源：≥200W；12、键鼠：防水抗菌键盘、抗菌鼠标；13、操作系统：出厂预装正版操作系统；14、售后服务：三年保修，原厂400售后电话，生产厂商提供官方微信服务平台，实现在线咨询、预约保修，保修期和服务网点查询等移动端功能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E28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A88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749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D5F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10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公共区域储物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694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定制高柜、18mm免漆板、暗藏10mm宽LED线性灯、2400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2300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D54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5F2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0173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184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FCA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公共区展示区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3F0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3030镀锌方通底座喷漆、10mm钢化玻璃、600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350*860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E3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A2B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1B9C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099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327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资料存储柜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CC6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尺寸：850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390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1850、表面采用亚光静电喷塑工艺，柜体表面经预脱脂-脱脂-水洗-酸洗-水洗-中和-表调-磷化-水洗-钝化十工位表面前处理工序；钢板厚度≥0.6mm。 2、塑粉：表面喷涂材料使用环氧聚脂粉。 3、焊接部分采用高标准熔接焊，表面平整光滑。 4、颜色：浅灰色。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A04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CAB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56FE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46FA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83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阅览区配套桌椅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F98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桌子尺寸1200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600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700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F7B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042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3602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026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E12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办公室可擦写白板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E41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采购挂式可擦写白板、900*1800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6B0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133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5A0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3F1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67F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阅览室高柜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CE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定制高柜、18mm免漆板、3550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2300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BFE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580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0094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728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1BD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阅览室靠墙阅览区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CD2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定制阅览桌、18mm免漆板、18mm长城板、5600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1000、4张椅子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897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4C3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项</w:t>
            </w:r>
          </w:p>
        </w:tc>
      </w:tr>
      <w:tr w14:paraId="4DFB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A14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C20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彩色多功能数码复合机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213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.连续输出速度：黑白彩色同速：26页/分钟，预热时间：主机电源打开时：10秒或更少，睡眠模式恢复时：10秒或更少，快速启动：4秒或更少。最大原稿尺寸：A3，首页输出时间（BK/CL):6.1/8.4秒或更少。2.标配：内存：3.5GB，SSD固态硬盘：256GB，标配10.1英寸彩色触摸屏供纸量：550张x2+100张（多功能托盘），双面自动输稿器。标配网络访问组件，工作台，标配IC读卡器盒子，原稿倾斜矫正。标配落地纸盒。3.打印功能：打印分辨率：600dpix600dpi，1200dpix1200dpi(半速)，双面打印，打印语言：UFRII，接口：USB2.0High・Speed, 1000Base-T/100Base-TX/10Base-T (IEEE 802.3 compliant) 。4.复印功能：复印分辨率：600×600dpi，手动缩放：25% - 400%（以1%为单位)，连续复印张数：1-999张。5.扫描功能：扫描速度与分辨率：单面:70/70(300x300dpi,send),51/42,(600x600dpi, copy)，双面:35/35 (300x300dpi, send),25.5/25.5(600x600dpi, copy)，原稿托盘容量：100页（A4，80gsm）。6.系统环境：Windows® 8.1/10/Server2012/Server2012 R2/Server2016/Server2019,Mac OS X(10.11 or later)；7.功耗：最大功耗：不超过1.5kw，睡眠模式能耗：0.8W；8.可选配件：双面同步扫描输稿器-C1、无线Wifi；9.耗材：对应型号墨粉（黑/品红/黄/青）、对应型号感光鼓（黑/品红/黄/青）。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319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974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272A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A2A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22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1ED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档案室资料储存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D42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尺寸：850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390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1850、表面采用亚光静电喷塑工艺，柜体表面经预脱脂-脱脂-水洗-酸洗-水洗-中和-表调-磷化-水洗-钝化十工位表面前处理工序；钢板厚度≥0.6mm。 2、塑粉：表面喷涂材料使用环氧聚脂粉。 3、焊接部分采用高标准熔接焊，表面平整光滑。 4、颜色：浅灰色。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B73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BE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3C8E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7C2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03C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会议桌椅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F2B7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桌子：尺寸：3800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1400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750、面材：采用优质三聚氰胺饰面板，需符合GB/T15102-2006浸渍胶膜纸饰面人造板标准要求。其中甲醛释放量≤0.05mg/m³；2、基材：采用优质环保刨花板，甲醛释放量≤0.124mg/m³。达到国家环保标准，并经过防虫、防腐等化学处理；3、封边：采用与板材同色全自动封边机封边，厚度≥2.0mm，无缝封边，色泽均匀一致，具有良好的耐气候性能，确保在本地区气温、湿度的变化中不受影响，能长期不变形、不开裂，耐污、耐磨、防撞、防水、防虫，保证板材封边质量，延长产品使用寿命； 4、胶水：采用国内优质品牌热溶胶，品质优异，保证贴合及封边牢固，经得起寒冷和高温气候考验，胶水中的有害物质的含量远低于国家标准；5、五金配件：采用优质五金连接件，永不生锈腐蚀，拼装紧凑牢固。所有五金配件做防锈、防腐处理；椅子：尺寸500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490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830mm；1、面料：采用网布，外观色泽均匀，自然，手感柔软，阻燃、防水、防污、防火、防腐性强；2、海绵：采用优质高弹海绵，密度高，表面带有保护面，防氧化、抗疲劳、耐冲击、回弹力强、不易变形；3、脚架：采用优质钢制弓形脚，表面经防锈、防潮、防腐酸洗、磷化、除锈、静电机器手自动喷涂和高温固化处理；4、仿生曲线靠背，人体工学设计，贴合人体生理曲线。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056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558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0F1E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0DC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24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B9D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茶水柜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AE8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采购成品茶水桌、1200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450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900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03F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282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套</w:t>
            </w:r>
          </w:p>
        </w:tc>
      </w:tr>
      <w:tr w14:paraId="6B15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622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25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B1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亚克力架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FB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定制10mm亚克力架子、1430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160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520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5AD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B13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个</w:t>
            </w:r>
          </w:p>
        </w:tc>
      </w:tr>
      <w:tr w14:paraId="4D21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D8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165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窗帘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45F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定制窗帘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39B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6.5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4F7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2841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50E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二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8DD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环境优化升级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803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CB4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D13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 w14:paraId="19F6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94A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6F4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公共区宣绒布墙面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2D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原墙面裱宣绒布画面UV喷印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114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10.8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DE5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024B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36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E16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公共区展板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00C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15mmPVC画面UV喷印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4F8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5.5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A66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026E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AF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243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公共区玻璃贴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18D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原墙面裱玻璃贴画面UV喷印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27A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8.7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485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7DDC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677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2F9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会议室展板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130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10-15mmPVC画面UV喷印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70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673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3C61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69D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ED4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会议室油画布墙面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BE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原墙面裱油画布画面UV喷印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63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7.5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9F1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5B76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93B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786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会议室PVC立体字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785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10mmPVC雕刻喷漆、1100*120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43B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0D8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项</w:t>
            </w:r>
          </w:p>
        </w:tc>
      </w:tr>
      <w:tr w14:paraId="7D99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EF1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0A3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阅览室宣绒布墙面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205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原墙面裱宣绒布画面UV喷印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735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5.5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787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3AC0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192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566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阅览室展板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3B3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10mmPVC画面UV喷印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13B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D1B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㎡</w:t>
            </w:r>
          </w:p>
        </w:tc>
      </w:tr>
      <w:tr w14:paraId="5BE7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AE6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4B1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公共区域射灯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BF5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嵌入式射灯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CDA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C8D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盏</w:t>
            </w:r>
          </w:p>
        </w:tc>
      </w:tr>
      <w:tr w14:paraId="352C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1F6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379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强弱电改造</w:t>
            </w:r>
          </w:p>
        </w:tc>
        <w:tc>
          <w:tcPr>
            <w:tcW w:w="6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C33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照明线路2.5mm²绝缘铜芯线、插座线路4mm²绝缘铜芯线、φ20mm阻燃PVC管、超六类网线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C72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69F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z w:val="24"/>
                <w:szCs w:val="24"/>
              </w:rPr>
              <w:t>项</w:t>
            </w:r>
          </w:p>
        </w:tc>
      </w:tr>
    </w:tbl>
    <w:p w14:paraId="596032F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0" w:firstLineChars="0"/>
        <w:jc w:val="left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bookmarkStart w:id="1" w:name="heading_1"/>
    </w:p>
    <w:p w14:paraId="600769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0" w:firstLineChars="0"/>
        <w:jc w:val="left"/>
        <w:textAlignment w:val="auto"/>
        <w:outlineLvl w:val="1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通用要求：</w:t>
      </w:r>
      <w:bookmarkEnd w:id="1"/>
    </w:p>
    <w:p w14:paraId="712C79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教学适配性：所有设备、装修均适配中医药教学场景，支持线上线下结合培训模式，满足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次规模化培训需求，便于学员分批实操、学习；</w:t>
      </w:r>
    </w:p>
    <w:p w14:paraId="32843C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质量稳定性：设备经专业检测，符合国家相关质量标准，在常温（15-25℃）、通风环境下使用寿命≥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年，无霉变、故障、褪色风险；</w:t>
      </w:r>
    </w:p>
    <w:p w14:paraId="3A06CA5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合规性：所有设备、材料来源合法，提供完整的质量检测报告、环保检测报告，符合国家环保、安全、电气等相关法规；</w:t>
      </w:r>
    </w:p>
    <w:p w14:paraId="3B503C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附加服务：供应商需提供设备安装调试、装修施工、操作培训服务，到货后协助完成设备上架、系统调试；提供≥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年质保服务，质保期内免费维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修、更换故障部件；</w:t>
      </w:r>
    </w:p>
    <w:p w14:paraId="242D4CE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空间适配性：设备、装修尺寸适配智慧教室实际空间，布局合理，不影响教学活动开展，整体风格统一、整洁美观。</w:t>
      </w:r>
    </w:p>
    <w:p w14:paraId="57E40B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7FD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4F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7C675"/>
    <w:multiLevelType w:val="singleLevel"/>
    <w:tmpl w:val="83F7C675"/>
    <w:lvl w:ilvl="0" w:tentative="0">
      <w:start w:val="1"/>
      <w:numFmt w:val="decimal"/>
      <w:suff w:val="nothing"/>
      <w:lvlText w:val="%1."/>
      <w:lvlJc w:val="left"/>
      <w:pPr/>
      <w:rPr>
        <w:rFonts w:hint="default"/>
        <w:color w:val="auto"/>
      </w:rPr>
    </w:lvl>
  </w:abstractNum>
  <w:abstractNum w:abstractNumId="1">
    <w:nsid w:val="91369605"/>
    <w:multiLevelType w:val="singleLevel"/>
    <w:tmpl w:val="91369605"/>
    <w:lvl w:ilvl="0" w:tentative="0">
      <w:start w:val="3"/>
      <w:numFmt w:val="decimal"/>
      <w:suff w:val="nothing"/>
      <w:lvlText w:val="%1."/>
      <w:lvlJc w:val="left"/>
      <w:pPr/>
      <w:rPr>
        <w:rFonts w:hint="default"/>
        <w:color w:val="auto"/>
      </w:rPr>
    </w:lvl>
  </w:abstractNum>
  <w:abstractNum w:abstractNumId="2">
    <w:nsid w:val="BD09B1B2"/>
    <w:multiLevelType w:val="singleLevel"/>
    <w:tmpl w:val="BD09B1B2"/>
    <w:lvl w:ilvl="0" w:tentative="0">
      <w:start w:val="4"/>
      <w:numFmt w:val="decimal"/>
      <w:suff w:val="nothing"/>
      <w:lvlText w:val="%1."/>
      <w:lvlJc w:val="left"/>
      <w:pPr/>
      <w:rPr>
        <w:rFonts w:hint="default"/>
        <w:color w:val="auto"/>
      </w:rPr>
    </w:lvl>
  </w:abstractNum>
  <w:abstractNum w:abstractNumId="3">
    <w:nsid w:val="FD4FC583"/>
    <w:multiLevelType w:val="singleLevel"/>
    <w:tmpl w:val="FD4FC583"/>
    <w:lvl w:ilvl="0" w:tentative="0">
      <w:start w:val="2"/>
      <w:numFmt w:val="decimal"/>
      <w:suff w:val="nothing"/>
      <w:lvlText w:val="%1."/>
      <w:lvlJc w:val="left"/>
      <w:pPr/>
      <w:rPr>
        <w:rFonts w:hint="default"/>
        <w:color w:val="auto"/>
      </w:rPr>
    </w:lvl>
  </w:abstractNum>
  <w:abstractNum w:abstractNumId="4">
    <w:nsid w:val="FDF304A5"/>
    <w:multiLevelType w:val="singleLevel"/>
    <w:tmpl w:val="FDF304A5"/>
    <w:lvl w:ilvl="0" w:tentative="0">
      <w:start w:val="5"/>
      <w:numFmt w:val="decimal"/>
      <w:suff w:val="nothing"/>
      <w:lvlText w:val="%1."/>
      <w:lvlJc w:val="left"/>
      <w:pPr/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3AF70BF"/>
    <w:rsid w:val="0B297F03"/>
    <w:rsid w:val="12A83E03"/>
    <w:rsid w:val="25B175C9"/>
    <w:rsid w:val="3006184E"/>
    <w:rsid w:val="3B660234"/>
    <w:rsid w:val="42D56DDD"/>
    <w:rsid w:val="60FB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5193</Words>
  <Characters>6769</Characters>
  <TotalTime>1</TotalTime>
  <ScaleCrop>false</ScaleCrop>
  <LinksUpToDate>false</LinksUpToDate>
  <CharactersWithSpaces>6819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2026-03-18T08:39:00Z</dcterms:created>
  <dc:creator>Apache POI</dc:creator>
  <cp:lastModifiedBy>玉林骨科彭金辉</cp:lastModifiedBy>
  <dcterms:modified xsi:type="dcterms:W3CDTF">2026-03-18T08:53:57Z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eyJoZGlkIjoiMWRiZTg2NTI3NGZkNTA4YzAwNWJjM2FkODk3ZTc0MTMiLCJ1c2VySWQiOiI1Njc0MjY5MjAifQ==</vt:lpwstr>
  </property>
  <property fmtid="{D5CDD505-2E9C-101B-9397-08002B2CF9AE}" pid="3" name="KSOProductBuildVer">
    <vt:lpwstr>2052-12.1.0.25222</vt:lpwstr>
  </property>
  <property fmtid="{D5CDD505-2E9C-101B-9397-08002B2CF9AE}" pid="4" name="ICV">
    <vt:lpwstr>EE4DD74AD3384CCB890BBE5757295A65_12</vt:lpwstr>
  </property>
</Properties>
</file>