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45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851"/>
        <w:gridCol w:w="2090"/>
        <w:gridCol w:w="7909"/>
        <w:gridCol w:w="1075"/>
        <w:gridCol w:w="726"/>
      </w:tblGrid>
      <w:tr w14:paraId="01EC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000" w:type="pct"/>
            <w:gridSpan w:val="5"/>
            <w:shd w:val="clear" w:color="auto" w:fill="FFFFFF" w:themeFill="background1"/>
          </w:tcPr>
          <w:p w14:paraId="5D9FD840">
            <w:pPr>
              <w:widowControl/>
              <w:spacing w:line="360" w:lineRule="auto"/>
              <w:jc w:val="center"/>
              <w:rPr>
                <w:rFonts w:asciiTheme="minorEastAsia" w:hAnsiTheme="minorEastAsia" w:cstheme="minorEastAsia"/>
                <w:b/>
                <w:bCs/>
                <w:kern w:val="0"/>
                <w:szCs w:val="21"/>
              </w:rPr>
            </w:pPr>
            <w:bookmarkStart w:id="0" w:name="_GoBack"/>
            <w:bookmarkEnd w:id="0"/>
            <w:r>
              <w:rPr>
                <w:rFonts w:asciiTheme="minorEastAsia" w:hAnsiTheme="minorEastAsia" w:cstheme="minorEastAsia"/>
                <w:b/>
                <w:bCs/>
                <w:kern w:val="0"/>
                <w:szCs w:val="21"/>
              </w:rPr>
              <w:t>等保</w:t>
            </w:r>
            <w:r>
              <w:rPr>
                <w:rFonts w:hint="eastAsia" w:asciiTheme="minorEastAsia" w:hAnsiTheme="minorEastAsia" w:cstheme="minorEastAsia"/>
                <w:b/>
                <w:bCs/>
                <w:kern w:val="0"/>
                <w:szCs w:val="21"/>
              </w:rPr>
              <w:t>、密评、机房</w:t>
            </w:r>
            <w:r>
              <w:rPr>
                <w:rFonts w:asciiTheme="minorEastAsia" w:hAnsiTheme="minorEastAsia" w:cstheme="minorEastAsia"/>
                <w:b/>
                <w:bCs/>
                <w:kern w:val="0"/>
                <w:szCs w:val="21"/>
              </w:rPr>
              <w:t>及安全</w:t>
            </w:r>
            <w:r>
              <w:rPr>
                <w:rFonts w:hint="eastAsia" w:asciiTheme="minorEastAsia" w:hAnsiTheme="minorEastAsia" w:cstheme="minorEastAsia"/>
                <w:b/>
                <w:bCs/>
                <w:kern w:val="0"/>
                <w:szCs w:val="21"/>
              </w:rPr>
              <w:t>运营</w:t>
            </w:r>
            <w:r>
              <w:rPr>
                <w:rFonts w:asciiTheme="minorEastAsia" w:hAnsiTheme="minorEastAsia" w:cstheme="minorEastAsia"/>
                <w:b/>
                <w:bCs/>
                <w:kern w:val="0"/>
                <w:szCs w:val="21"/>
              </w:rPr>
              <w:t>服务需求</w:t>
            </w:r>
          </w:p>
        </w:tc>
      </w:tr>
      <w:tr w14:paraId="12BE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6" w:type="pct"/>
            <w:shd w:val="clear" w:color="auto" w:fill="FFFFFF" w:themeFill="background1"/>
          </w:tcPr>
          <w:p w14:paraId="1D9194ED">
            <w:pPr>
              <w:widowControl/>
              <w:spacing w:line="360" w:lineRule="auto"/>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序号</w:t>
            </w:r>
          </w:p>
        </w:tc>
        <w:tc>
          <w:tcPr>
            <w:tcW w:w="826" w:type="pct"/>
            <w:shd w:val="clear" w:color="auto" w:fill="FFFFFF" w:themeFill="background1"/>
            <w:noWrap/>
            <w:vAlign w:val="center"/>
          </w:tcPr>
          <w:p w14:paraId="48A480F1">
            <w:pPr>
              <w:widowControl/>
              <w:spacing w:line="360" w:lineRule="auto"/>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服务名称</w:t>
            </w:r>
          </w:p>
        </w:tc>
        <w:tc>
          <w:tcPr>
            <w:tcW w:w="3126" w:type="pct"/>
            <w:shd w:val="clear" w:color="auto" w:fill="FFFFFF" w:themeFill="background1"/>
            <w:noWrap/>
            <w:vAlign w:val="center"/>
          </w:tcPr>
          <w:p w14:paraId="5A73CCBF">
            <w:pPr>
              <w:widowControl/>
              <w:spacing w:line="360" w:lineRule="auto"/>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服务要求</w:t>
            </w:r>
          </w:p>
        </w:tc>
        <w:tc>
          <w:tcPr>
            <w:tcW w:w="425" w:type="pct"/>
            <w:shd w:val="clear" w:color="auto" w:fill="FFFFFF" w:themeFill="background1"/>
            <w:noWrap/>
            <w:vAlign w:val="center"/>
          </w:tcPr>
          <w:p w14:paraId="3CB7D803">
            <w:pPr>
              <w:widowControl/>
              <w:spacing w:line="360" w:lineRule="auto"/>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单位</w:t>
            </w:r>
          </w:p>
        </w:tc>
        <w:tc>
          <w:tcPr>
            <w:tcW w:w="285" w:type="pct"/>
            <w:shd w:val="clear" w:color="auto" w:fill="FFFFFF" w:themeFill="background1"/>
            <w:noWrap/>
            <w:vAlign w:val="center"/>
          </w:tcPr>
          <w:p w14:paraId="56BB8EDC">
            <w:pPr>
              <w:widowControl/>
              <w:spacing w:line="360" w:lineRule="auto"/>
              <w:rPr>
                <w:rFonts w:asciiTheme="minorEastAsia" w:hAnsiTheme="minorEastAsia" w:cstheme="minorEastAsia"/>
                <w:b/>
                <w:bCs/>
                <w:kern w:val="0"/>
                <w:szCs w:val="21"/>
              </w:rPr>
            </w:pPr>
            <w:r>
              <w:rPr>
                <w:rFonts w:hint="eastAsia" w:asciiTheme="minorEastAsia" w:hAnsiTheme="minorEastAsia" w:cstheme="minorEastAsia"/>
                <w:b/>
                <w:bCs/>
                <w:kern w:val="0"/>
                <w:szCs w:val="21"/>
              </w:rPr>
              <w:t>数量</w:t>
            </w:r>
          </w:p>
        </w:tc>
      </w:tr>
      <w:tr w14:paraId="21A4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2" w:hRule="atLeast"/>
          <w:jc w:val="center"/>
        </w:trPr>
        <w:tc>
          <w:tcPr>
            <w:tcW w:w="336" w:type="pct"/>
            <w:shd w:val="clear" w:color="auto" w:fill="FFFFFF" w:themeFill="background1"/>
            <w:vAlign w:val="center"/>
          </w:tcPr>
          <w:p w14:paraId="599EC7B8">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1</w:t>
            </w:r>
          </w:p>
        </w:tc>
        <w:tc>
          <w:tcPr>
            <w:tcW w:w="826" w:type="pct"/>
            <w:shd w:val="clear" w:color="auto" w:fill="FFFFFF" w:themeFill="background1"/>
            <w:noWrap/>
            <w:vAlign w:val="center"/>
          </w:tcPr>
          <w:p w14:paraId="6CFA0808">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互联网医院平台及HIS信息系统等保测评（含等保咨询，整改加固，辅助测评等）</w:t>
            </w:r>
          </w:p>
        </w:tc>
        <w:tc>
          <w:tcPr>
            <w:tcW w:w="3126" w:type="pct"/>
            <w:shd w:val="clear" w:color="auto" w:fill="FFFFFF" w:themeFill="background1"/>
            <w:vAlign w:val="center"/>
          </w:tcPr>
          <w:p w14:paraId="1AD5430F">
            <w:pPr>
              <w:widowControl/>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1、依据网络安全等级保护第三级相关标准及管理要求，需委托具备网络安全等级测评相应能力和资质的测评机构，对采购人【互联网医院平台】、【HIS信息系统】的网络环境、软硬件设备(数据库、中间件、应用程序、服务器、网络设备和安全设备等)、机房物理环境、涉及的运维管理机制等实施网络安全等级测评服务。测评完成后，针对测评发现的问题提出明确、可执行的整改建议，指导采购人完成整改并达到网络安全等级保护第三级相关要求，出具符合国家等保2.0相关技术标准要求、国家网络安全等级保护管理部门规范要求且公安机关认可的《网络安全等级保护测评报告》。</w:t>
            </w:r>
          </w:p>
          <w:p w14:paraId="1A2FE10F">
            <w:pPr>
              <w:widowControl/>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2、协助采购人开展信息系统资产梳理、安全保护对象识别、网络边界划分及安全责任界定等工作；编制并提交符合公安机关网络安全等级保护管理要求的定级备案材料，协助采购人完成定级备案工作并取得信息系统安全等级保护备案证明。在差距分析阶段，对照网络安全等级保护第三级相关标准开展全面评估，形成差距分析报告及整改建议；在整改阶段，为采购人提供技术指导和支持，协助进行问题整改及整改结果验证。</w:t>
            </w:r>
          </w:p>
          <w:p w14:paraId="1858E008">
            <w:pPr>
              <w:widowControl/>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3、服务交付成果：《定级备案材料汇编》、《网络安全等级保护差距分析报告》、《网络安全等级保护测评报告》。</w:t>
            </w:r>
          </w:p>
        </w:tc>
        <w:tc>
          <w:tcPr>
            <w:tcW w:w="425" w:type="pct"/>
            <w:shd w:val="clear" w:color="auto" w:fill="FFFFFF" w:themeFill="background1"/>
            <w:noWrap/>
            <w:vAlign w:val="center"/>
          </w:tcPr>
          <w:p w14:paraId="3BE2F923">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项</w:t>
            </w:r>
          </w:p>
        </w:tc>
        <w:tc>
          <w:tcPr>
            <w:tcW w:w="285" w:type="pct"/>
            <w:shd w:val="clear" w:color="auto" w:fill="FFFFFF" w:themeFill="background1"/>
            <w:noWrap/>
            <w:vAlign w:val="center"/>
          </w:tcPr>
          <w:p w14:paraId="4C4CAC5B">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2</w:t>
            </w:r>
          </w:p>
        </w:tc>
      </w:tr>
      <w:tr w14:paraId="5707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36" w:type="pct"/>
            <w:shd w:val="clear" w:color="auto" w:fill="FFFFFF" w:themeFill="background1"/>
            <w:vAlign w:val="center"/>
          </w:tcPr>
          <w:p w14:paraId="0EB1BB14">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2</w:t>
            </w:r>
          </w:p>
        </w:tc>
        <w:tc>
          <w:tcPr>
            <w:tcW w:w="826" w:type="pct"/>
            <w:shd w:val="clear" w:color="auto" w:fill="FFFFFF" w:themeFill="background1"/>
            <w:noWrap/>
            <w:vAlign w:val="center"/>
          </w:tcPr>
          <w:p w14:paraId="05A9AE26">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互联网医院平台密码应用方案评估（含咨询，优化建议，协助备案等）</w:t>
            </w:r>
          </w:p>
        </w:tc>
        <w:tc>
          <w:tcPr>
            <w:tcW w:w="3126" w:type="pct"/>
            <w:shd w:val="clear" w:color="auto" w:fill="FFFFFF" w:themeFill="background1"/>
            <w:vAlign w:val="center"/>
          </w:tcPr>
          <w:p w14:paraId="6475FDC4">
            <w:pPr>
              <w:widowControl/>
              <w:numPr>
                <w:ilvl w:val="0"/>
                <w:numId w:val="1"/>
              </w:numPr>
              <w:spacing w:line="360" w:lineRule="auto"/>
              <w:rPr>
                <w:rFonts w:asciiTheme="minorEastAsia" w:hAnsiTheme="minorEastAsia" w:cstheme="minorEastAsia"/>
                <w:kern w:val="0"/>
                <w:szCs w:val="21"/>
              </w:rPr>
            </w:pPr>
            <w:r>
              <w:rPr>
                <w:rFonts w:hint="eastAsia" w:asciiTheme="minorEastAsia" w:hAnsiTheme="minorEastAsia" w:cstheme="minorEastAsia"/>
                <w:color w:val="000000"/>
                <w:szCs w:val="21"/>
              </w:rPr>
              <w:t>根据国家商用密码政策和标准规范，协同采购方、互联网医院平台开发商编制互联网医院平台密码应用方案及相关材料，并协助采购人进行方案优化与调整，确保密码应用方案按要求顺利通过评估及相关部门备案。</w:t>
            </w:r>
          </w:p>
          <w:p w14:paraId="46C966A7">
            <w:pPr>
              <w:widowControl/>
              <w:numPr>
                <w:ilvl w:val="0"/>
                <w:numId w:val="1"/>
              </w:numPr>
              <w:spacing w:line="360" w:lineRule="auto"/>
              <w:rPr>
                <w:rFonts w:asciiTheme="minorEastAsia" w:hAnsiTheme="minorEastAsia" w:cstheme="minorEastAsia"/>
                <w:kern w:val="0"/>
                <w:szCs w:val="21"/>
              </w:rPr>
            </w:pPr>
            <w:r>
              <w:rPr>
                <w:rFonts w:hint="eastAsia" w:asciiTheme="minorEastAsia" w:hAnsiTheme="minorEastAsia" w:cstheme="minorEastAsia"/>
                <w:color w:val="000000"/>
                <w:szCs w:val="21"/>
              </w:rPr>
              <w:t>需委托具备商用密码检测机构资质证书的测评机构对采购人的【互联网医院平台】开展以下工作：对密码应用方案的总体设计、密码保障框架、密码算法与协议选择、密码产品配置及部署方式等进行全面审查，判断其是否符合国家商用密码政策、标准及行业最佳实践；分析密码应用方案与信息系统业务特性、安全防护需求之间的匹配程度，评估其在真实运行环境下的可行性与适应性；审查密钥管理体系设计，包括密钥生成、分发、存储、更新、撤销、销毁等环节的安全机制与控制措施，确保密钥管理过程的可控性与可追溯性；评估密码应用方案与网络安全等级保护制度及其他安全监管要求的衔接情况，分析其在应对典型安全威胁方面的能力与不足；出具符合国家商用密码政策和标准规范要求的《商用密码应用方案商用密码应用安全性评估报告》，并协助采购人将评估结果提交所在地区密码管理部门备案。</w:t>
            </w:r>
          </w:p>
          <w:p w14:paraId="0ACEC4D3">
            <w:pPr>
              <w:widowControl/>
              <w:numPr>
                <w:ilvl w:val="0"/>
                <w:numId w:val="1"/>
              </w:numPr>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服务交付成果:</w:t>
            </w:r>
            <w:r>
              <w:rPr>
                <w:rFonts w:hint="eastAsia" w:asciiTheme="minorEastAsia" w:hAnsiTheme="minorEastAsia" w:cstheme="minorEastAsia"/>
                <w:color w:val="000000"/>
                <w:szCs w:val="21"/>
              </w:rPr>
              <w:t>《商用密码应用方案商用密码应用安全性评估报告》。</w:t>
            </w:r>
          </w:p>
        </w:tc>
        <w:tc>
          <w:tcPr>
            <w:tcW w:w="425" w:type="pct"/>
            <w:shd w:val="clear" w:color="auto" w:fill="FFFFFF" w:themeFill="background1"/>
            <w:noWrap/>
            <w:vAlign w:val="center"/>
          </w:tcPr>
          <w:p w14:paraId="3155675A">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项</w:t>
            </w:r>
          </w:p>
        </w:tc>
        <w:tc>
          <w:tcPr>
            <w:tcW w:w="285" w:type="pct"/>
            <w:shd w:val="clear" w:color="auto" w:fill="FFFFFF" w:themeFill="background1"/>
            <w:noWrap/>
            <w:vAlign w:val="center"/>
          </w:tcPr>
          <w:p w14:paraId="6CA1E55B">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1</w:t>
            </w:r>
          </w:p>
        </w:tc>
      </w:tr>
      <w:tr w14:paraId="7EE8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2" w:hRule="atLeast"/>
          <w:jc w:val="center"/>
        </w:trPr>
        <w:tc>
          <w:tcPr>
            <w:tcW w:w="336" w:type="pct"/>
            <w:shd w:val="clear" w:color="auto" w:fill="FFFFFF" w:themeFill="background1"/>
            <w:vAlign w:val="center"/>
          </w:tcPr>
          <w:p w14:paraId="3A27C0F0">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3</w:t>
            </w:r>
          </w:p>
        </w:tc>
        <w:tc>
          <w:tcPr>
            <w:tcW w:w="826" w:type="pct"/>
            <w:shd w:val="clear" w:color="auto" w:fill="FFFFFF" w:themeFill="background1"/>
            <w:noWrap/>
            <w:vAlign w:val="center"/>
          </w:tcPr>
          <w:p w14:paraId="127BD512">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互联网医院平台</w:t>
            </w:r>
            <w:r>
              <w:rPr>
                <w:rFonts w:hint="eastAsia" w:asciiTheme="minorEastAsia" w:hAnsiTheme="minorEastAsia" w:cstheme="minorEastAsia"/>
              </w:rPr>
              <w:t>商用密码应用安全性评估(</w:t>
            </w:r>
            <w:r>
              <w:rPr>
                <w:rFonts w:hint="eastAsia" w:asciiTheme="minorEastAsia" w:hAnsiTheme="minorEastAsia" w:cstheme="minorEastAsia"/>
                <w:kern w:val="0"/>
                <w:szCs w:val="21"/>
              </w:rPr>
              <w:t>含咨询，优化建议,协助备案等）</w:t>
            </w:r>
          </w:p>
        </w:tc>
        <w:tc>
          <w:tcPr>
            <w:tcW w:w="3126" w:type="pct"/>
            <w:shd w:val="clear" w:color="auto" w:fill="FFFFFF" w:themeFill="background1"/>
            <w:vAlign w:val="center"/>
          </w:tcPr>
          <w:p w14:paraId="66DD71AE">
            <w:pPr>
              <w:widowControl/>
              <w:spacing w:line="360" w:lineRule="auto"/>
              <w:rPr>
                <w:rFonts w:asciiTheme="minorEastAsia" w:hAnsiTheme="minorEastAsia" w:cstheme="minorEastAsia"/>
                <w:color w:val="000000"/>
                <w:szCs w:val="21"/>
              </w:rPr>
            </w:pPr>
            <w:r>
              <w:rPr>
                <w:rFonts w:hint="eastAsia" w:asciiTheme="minorEastAsia" w:hAnsiTheme="minorEastAsia" w:cstheme="minorEastAsia"/>
                <w:color w:val="000000"/>
                <w:szCs w:val="21"/>
              </w:rPr>
              <w:t>1、依据《信息安全技术 信息系统密码应用基本要求》（GB/T 39786—2021）标准规范，按照第三级密码应用要求，通过具备商用密码检测机构资质证书的测评机构对采购人的【</w:t>
            </w:r>
            <w:r>
              <w:rPr>
                <w:rFonts w:hint="eastAsia" w:asciiTheme="minorEastAsia" w:hAnsiTheme="minorEastAsia" w:cstheme="minorEastAsia"/>
                <w:kern w:val="0"/>
                <w:szCs w:val="21"/>
              </w:rPr>
              <w:t>互联网医院平台】</w:t>
            </w:r>
            <w:r>
              <w:rPr>
                <w:rFonts w:hint="eastAsia" w:asciiTheme="minorEastAsia" w:hAnsiTheme="minorEastAsia" w:cstheme="minorEastAsia"/>
                <w:color w:val="000000"/>
                <w:szCs w:val="21"/>
              </w:rPr>
              <w:t>开展商用密码应用安全性评估。评估内容包括物理和环境安全、网络和通信安全、设备和计算安全、应用和数据安全，以及管理制度、人员管理、建设运行和应急处置等方面。评估完成后，出具符合国家及行业有关标准规范的《商用密码应用安全性评估报告》，客观反映系统密码应用状况、存在的安全问题及评估结论，并提出明确、可执行的整改建议。</w:t>
            </w:r>
          </w:p>
          <w:p w14:paraId="0CDD33CF">
            <w:pPr>
              <w:widowControl/>
              <w:spacing w:line="360" w:lineRule="auto"/>
              <w:rPr>
                <w:rFonts w:asciiTheme="minorEastAsia" w:hAnsiTheme="minorEastAsia" w:cstheme="minorEastAsia"/>
                <w:color w:val="000000"/>
                <w:szCs w:val="21"/>
              </w:rPr>
            </w:pPr>
            <w:r>
              <w:rPr>
                <w:rFonts w:hint="eastAsia" w:asciiTheme="minorEastAsia" w:hAnsiTheme="minorEastAsia" w:cstheme="minorEastAsia"/>
                <w:color w:val="000000"/>
                <w:szCs w:val="21"/>
              </w:rPr>
              <w:t>2、供应商应针对采购人指定信息系统开展系统资产梳理、密码应用现状调研及密码应用需求分析。在差距分析阶段，对照第三级密码应用要求，全面分析信息系统在技术和管理方面存在的差距及风险，形成安全问题清单，并提出具有针对性和可操作性的整改建议。在整改阶段，为采购人提供密码应用建设、安全管理制度完善等方面的技术指导，协助开展问题整改及整改结果验证。</w:t>
            </w:r>
          </w:p>
          <w:p w14:paraId="6DD59BD1">
            <w:pPr>
              <w:widowControl/>
              <w:spacing w:line="360" w:lineRule="auto"/>
              <w:rPr>
                <w:rFonts w:asciiTheme="minorEastAsia" w:hAnsiTheme="minorEastAsia" w:cstheme="minorEastAsia"/>
                <w:color w:val="000000"/>
                <w:szCs w:val="21"/>
              </w:rPr>
            </w:pPr>
            <w:r>
              <w:rPr>
                <w:rFonts w:hint="eastAsia" w:asciiTheme="minorEastAsia" w:hAnsiTheme="minorEastAsia" w:cstheme="minorEastAsia"/>
                <w:color w:val="000000"/>
                <w:szCs w:val="21"/>
              </w:rPr>
              <w:t>3、完成商用密码应用安全性评估并出具正式评估报告后，供应商应根据国家及属地密码管理部门的有关要求，协助采购人编制、整理和提交密评结果备案材料，配合完成材料补充、修改及备案申报等相关工作。</w:t>
            </w:r>
          </w:p>
          <w:p w14:paraId="7215413E">
            <w:pPr>
              <w:widowControl/>
              <w:spacing w:line="360" w:lineRule="auto"/>
              <w:rPr>
                <w:rFonts w:asciiTheme="minorEastAsia" w:hAnsiTheme="minorEastAsia" w:cstheme="minorEastAsia"/>
                <w:kern w:val="0"/>
                <w:szCs w:val="21"/>
              </w:rPr>
            </w:pPr>
            <w:r>
              <w:rPr>
                <w:rFonts w:hint="eastAsia" w:asciiTheme="minorEastAsia" w:hAnsiTheme="minorEastAsia" w:cstheme="minorEastAsia"/>
                <w:color w:val="000000"/>
                <w:szCs w:val="21"/>
              </w:rPr>
              <w:t>4、服务交付成果：《密码应用安全问题与改进建议》、《商用密码应用安全性评估报告》、密评结果备案材料。</w:t>
            </w:r>
          </w:p>
        </w:tc>
        <w:tc>
          <w:tcPr>
            <w:tcW w:w="425" w:type="pct"/>
            <w:shd w:val="clear" w:color="auto" w:fill="FFFFFF" w:themeFill="background1"/>
            <w:noWrap/>
            <w:vAlign w:val="center"/>
          </w:tcPr>
          <w:p w14:paraId="6C4CBB16">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项</w:t>
            </w:r>
          </w:p>
        </w:tc>
        <w:tc>
          <w:tcPr>
            <w:tcW w:w="285" w:type="pct"/>
            <w:shd w:val="clear" w:color="auto" w:fill="FFFFFF" w:themeFill="background1"/>
            <w:noWrap/>
            <w:vAlign w:val="center"/>
          </w:tcPr>
          <w:p w14:paraId="7881F7EF">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1</w:t>
            </w:r>
          </w:p>
        </w:tc>
      </w:tr>
      <w:tr w14:paraId="6AC7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396" w:hRule="atLeast"/>
          <w:jc w:val="center"/>
        </w:trPr>
        <w:tc>
          <w:tcPr>
            <w:tcW w:w="336" w:type="pct"/>
            <w:shd w:val="clear" w:color="auto" w:fill="FFFFFF" w:themeFill="background1"/>
            <w:vAlign w:val="center"/>
          </w:tcPr>
          <w:p w14:paraId="062E8525">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4</w:t>
            </w:r>
          </w:p>
        </w:tc>
        <w:tc>
          <w:tcPr>
            <w:tcW w:w="826" w:type="pct"/>
            <w:shd w:val="clear" w:color="auto" w:fill="FFFFFF" w:themeFill="background1"/>
            <w:noWrap/>
            <w:vAlign w:val="center"/>
          </w:tcPr>
          <w:p w14:paraId="2A155EE2">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安全运营服务</w:t>
            </w:r>
          </w:p>
        </w:tc>
        <w:tc>
          <w:tcPr>
            <w:tcW w:w="3126" w:type="pct"/>
            <w:shd w:val="clear" w:color="auto" w:fill="FFFFFF" w:themeFill="background1"/>
            <w:vAlign w:val="center"/>
          </w:tcPr>
          <w:p w14:paraId="1631E4AE">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全天候值守：7*24安全监控与告警，实时在线监测安全风险并可实现远程可触达的事件闭环，云端安全运营中心实现7*24小时安全托管。</w:t>
            </w:r>
          </w:p>
          <w:p w14:paraId="444723D5">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脆弱性管理：资产与脆弱性可视。</w:t>
            </w:r>
          </w:p>
          <w:p w14:paraId="149108AD">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基础研判：基础威胁检测与初步研判。</w:t>
            </w:r>
          </w:p>
          <w:p w14:paraId="02645C45">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威胁处置：标准化事件响应支持。</w:t>
            </w:r>
          </w:p>
          <w:p w14:paraId="14ECA732">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常态化开展漏洞、弱口令扫描，形成漏洞风险台账并持续跟踪修复情况；基于攻防视角评估漏洞风险，明确修复优先级、提供加固指导，协助推进漏洞整改；对无法整改的漏洞提供漏洞无效化技术处置措施。</w:t>
            </w:r>
          </w:p>
          <w:p w14:paraId="79157769">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开展主机安全监测，实时识别服务器漏洞扫描、暴力破解攻击，持续监测 WebShell、内存马、反弹 Shell 以及文件、网页篡改等入侵异常行为。</w:t>
            </w:r>
          </w:p>
          <w:p w14:paraId="36AF66E7">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7*24小时威胁风险分析：提供 7*24 小时全天候威胁监测与风险分析服务，对告警统一研判降噪、溯源分析，及时推送风险预警并给出处置方案，实现全时段不间断威胁处置闭环，补齐节假日、夜间、重大保障时段安全值守短板，保障采购方各类业务系统持续稳定运行。</w:t>
            </w:r>
          </w:p>
          <w:p w14:paraId="20D5C6D0">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事件实时响应：建立网络威胁实时处置与安全事件应急响应体系，发生网络安全突发事件迅速启动应急处置，一般事件采取远程处置方式，重大安全事件安排人员赴现场开展排查溯源，同步形成规范的应急处置报告。</w:t>
            </w:r>
          </w:p>
          <w:p w14:paraId="2CF78B23">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供应商需提供安全整改协助服务，覆盖全院各类网络安全隐患、等保三级测评所有不合规条目。工作内容：风险成因分析、定制整改方案编制、整改操作技术建议、远程咨询指导、整改效果复测、整改资料台账整理；以方案、建议、技术指导形式协助我院完成全部安全合规整改。协助我院顺利通过等保测评及各级卫健网络安全检查。</w:t>
            </w:r>
          </w:p>
          <w:p w14:paraId="2BEA9639">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如有采购方参与的网络安全攻防实战演习等活动，供应商协助梳理汇总技战法材料、事件处置报告、布防报告等材料。</w:t>
            </w:r>
          </w:p>
          <w:p w14:paraId="0CD43B97">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成果交付：供应商需交付服务过程种所产生的服务报告和交付物，包括但不限于：《互联网暴露面风险报表》、《威胁监测与处置报表》、《资产与漏洞风险报表》、《整改建议》、《日常安全运营周/月/半年/年总结报告》等。</w:t>
            </w:r>
          </w:p>
          <w:p w14:paraId="56F3CD4A">
            <w:pPr>
              <w:widowControl/>
              <w:numPr>
                <w:ilvl w:val="0"/>
                <w:numId w:val="2"/>
              </w:numPr>
              <w:spacing w:line="360" w:lineRule="auto"/>
              <w:rPr>
                <w:rFonts w:asciiTheme="minorEastAsia" w:hAnsiTheme="minorEastAsia" w:cstheme="minorEastAsia"/>
                <w:kern w:val="0"/>
                <w:szCs w:val="21"/>
              </w:rPr>
            </w:pPr>
            <w:r>
              <w:rPr>
                <w:rFonts w:hint="eastAsia" w:asciiTheme="minorEastAsia" w:hAnsiTheme="minorEastAsia" w:cstheme="minorEastAsia"/>
                <w:szCs w:val="21"/>
              </w:rPr>
              <w:t>服务期：一年。</w:t>
            </w:r>
          </w:p>
        </w:tc>
        <w:tc>
          <w:tcPr>
            <w:tcW w:w="425" w:type="pct"/>
            <w:shd w:val="clear" w:color="auto" w:fill="FFFFFF" w:themeFill="background1"/>
            <w:noWrap/>
            <w:vAlign w:val="center"/>
          </w:tcPr>
          <w:p w14:paraId="7C4F69D1">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项</w:t>
            </w:r>
          </w:p>
        </w:tc>
        <w:tc>
          <w:tcPr>
            <w:tcW w:w="285" w:type="pct"/>
            <w:shd w:val="clear" w:color="auto" w:fill="FFFFFF" w:themeFill="background1"/>
            <w:noWrap/>
            <w:vAlign w:val="center"/>
          </w:tcPr>
          <w:p w14:paraId="184762F5">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1</w:t>
            </w:r>
          </w:p>
        </w:tc>
      </w:tr>
      <w:tr w14:paraId="055E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336" w:type="pct"/>
            <w:shd w:val="clear" w:color="auto" w:fill="FFFFFF" w:themeFill="background1"/>
            <w:vAlign w:val="center"/>
          </w:tcPr>
          <w:p w14:paraId="1D6C8998">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5</w:t>
            </w:r>
          </w:p>
        </w:tc>
        <w:tc>
          <w:tcPr>
            <w:tcW w:w="826" w:type="pct"/>
            <w:shd w:val="clear" w:color="auto" w:fill="FFFFFF" w:themeFill="background1"/>
            <w:noWrap/>
            <w:vAlign w:val="center"/>
          </w:tcPr>
          <w:p w14:paraId="76E0BD97">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安全设备巡检服务</w:t>
            </w:r>
          </w:p>
        </w:tc>
        <w:tc>
          <w:tcPr>
            <w:tcW w:w="3126" w:type="pct"/>
            <w:shd w:val="clear" w:color="auto" w:fill="FFFFFF" w:themeFill="background1"/>
            <w:vAlign w:val="center"/>
          </w:tcPr>
          <w:p w14:paraId="3235B2AB">
            <w:pPr>
              <w:kinsoku w:val="0"/>
              <w:autoSpaceDE w:val="0"/>
              <w:autoSpaceDN w:val="0"/>
              <w:adjustRightInd w:val="0"/>
              <w:snapToGrid w:val="0"/>
              <w:spacing w:before="161" w:line="303" w:lineRule="auto"/>
              <w:ind w:right="136"/>
              <w:jc w:val="left"/>
              <w:textAlignment w:val="baseline"/>
              <w:rPr>
                <w:rFonts w:asciiTheme="minorEastAsia" w:hAnsiTheme="minorEastAsia" w:cstheme="minorEastAsia"/>
                <w:szCs w:val="21"/>
              </w:rPr>
            </w:pPr>
            <w:r>
              <w:rPr>
                <w:rFonts w:hint="eastAsia" w:asciiTheme="minorEastAsia" w:hAnsiTheme="minorEastAsia" w:cstheme="minorEastAsia"/>
                <w:szCs w:val="21"/>
              </w:rPr>
              <w:t>每三个月开展一次现场安全组件巡检，对安全设备调优，安服专家对安全组件上的安全策略进行统一运维管理，保障策略持续保持最优配置，充分发挥威胁防护效能；定期协助开展密码修改工作，相关工作完成后出具巡检报告。</w:t>
            </w:r>
          </w:p>
        </w:tc>
        <w:tc>
          <w:tcPr>
            <w:tcW w:w="425" w:type="pct"/>
            <w:shd w:val="clear" w:color="auto" w:fill="FFFFFF" w:themeFill="background1"/>
            <w:noWrap/>
            <w:vAlign w:val="center"/>
          </w:tcPr>
          <w:p w14:paraId="3F885933">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次</w:t>
            </w:r>
          </w:p>
        </w:tc>
        <w:tc>
          <w:tcPr>
            <w:tcW w:w="285" w:type="pct"/>
            <w:shd w:val="clear" w:color="auto" w:fill="FFFFFF" w:themeFill="background1"/>
            <w:noWrap/>
            <w:vAlign w:val="center"/>
          </w:tcPr>
          <w:p w14:paraId="2439BB78">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4</w:t>
            </w:r>
          </w:p>
        </w:tc>
      </w:tr>
      <w:tr w14:paraId="5FE3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57" w:hRule="atLeast"/>
          <w:jc w:val="center"/>
        </w:trPr>
        <w:tc>
          <w:tcPr>
            <w:tcW w:w="336" w:type="pct"/>
            <w:shd w:val="clear" w:color="auto" w:fill="FFFFFF" w:themeFill="background1"/>
            <w:vAlign w:val="center"/>
          </w:tcPr>
          <w:p w14:paraId="7C65E17E">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6</w:t>
            </w:r>
          </w:p>
        </w:tc>
        <w:tc>
          <w:tcPr>
            <w:tcW w:w="826" w:type="pct"/>
            <w:shd w:val="clear" w:color="auto" w:fill="FFFFFF" w:themeFill="background1"/>
            <w:noWrap/>
            <w:vAlign w:val="center"/>
          </w:tcPr>
          <w:p w14:paraId="3A09F54A">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威胁情报检测服务</w:t>
            </w:r>
          </w:p>
        </w:tc>
        <w:tc>
          <w:tcPr>
            <w:tcW w:w="3126" w:type="pct"/>
            <w:shd w:val="clear" w:color="auto" w:fill="FFFFFF" w:themeFill="background1"/>
            <w:vAlign w:val="center"/>
          </w:tcPr>
          <w:p w14:paraId="4887C20A">
            <w:pPr>
              <w:kinsoku w:val="0"/>
              <w:autoSpaceDE w:val="0"/>
              <w:autoSpaceDN w:val="0"/>
              <w:adjustRightInd w:val="0"/>
              <w:snapToGrid w:val="0"/>
              <w:spacing w:before="161" w:line="303" w:lineRule="auto"/>
              <w:ind w:right="136"/>
              <w:jc w:val="left"/>
              <w:textAlignment w:val="baseline"/>
              <w:rPr>
                <w:rFonts w:asciiTheme="minorEastAsia" w:hAnsiTheme="minorEastAsia" w:cstheme="minorEastAsia"/>
                <w:b/>
                <w:bCs/>
                <w:snapToGrid w:val="0"/>
                <w:color w:val="000000"/>
                <w:spacing w:val="7"/>
                <w:kern w:val="0"/>
                <w:szCs w:val="21"/>
              </w:rPr>
            </w:pPr>
            <w:r>
              <w:rPr>
                <w:rFonts w:hint="eastAsia" w:asciiTheme="minorEastAsia" w:hAnsiTheme="minorEastAsia" w:cstheme="minorEastAsia"/>
                <w:szCs w:val="21"/>
              </w:rPr>
              <w:t>一年提供一次多源权威情报联动的检测服务。整合公安部国家级安全情报、网安通报预警及奇安信、腾讯、360、阿里云、华为、绿盟、知道创宇等第三方权威威胁情报库，并支持对接客户自有情报源，对客户网络资产、IP、域名、服务器、业务端口开展交叉比对与关联筛查，保障检测结果的权威性与覆盖面。围绕资产开展恶意行为检测，涵盖恶意IP访问、异常外联通信、木马后门驻留、漏洞利用攻击、暴力破解、爬虫与扫描攻击、恶意代码（木马/蠕虫/病毒）感染、黑产团伙及失陷主机关联等各类网络威胁。结合公安及行业安全规范，针对每一项风险隐患，输出针对性、可落地的整改措施、防护策略与应急处置方案，并依托情报溯源与流量取证能力，指导完成安全隐患的闭环治理；并出具《威胁情报专项检测报告》</w:t>
            </w:r>
          </w:p>
        </w:tc>
        <w:tc>
          <w:tcPr>
            <w:tcW w:w="425" w:type="pct"/>
            <w:shd w:val="clear" w:color="auto" w:fill="FFFFFF" w:themeFill="background1"/>
            <w:noWrap/>
            <w:vAlign w:val="center"/>
          </w:tcPr>
          <w:p w14:paraId="1BE771DE">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次</w:t>
            </w:r>
          </w:p>
        </w:tc>
        <w:tc>
          <w:tcPr>
            <w:tcW w:w="285" w:type="pct"/>
            <w:shd w:val="clear" w:color="auto" w:fill="FFFFFF" w:themeFill="background1"/>
            <w:noWrap/>
            <w:vAlign w:val="center"/>
          </w:tcPr>
          <w:p w14:paraId="54CFA016">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1</w:t>
            </w:r>
          </w:p>
        </w:tc>
      </w:tr>
      <w:tr w14:paraId="170A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36" w:type="pct"/>
            <w:shd w:val="clear" w:color="auto" w:fill="FFFFFF" w:themeFill="background1"/>
            <w:vAlign w:val="center"/>
          </w:tcPr>
          <w:p w14:paraId="127A0A88">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7</w:t>
            </w:r>
          </w:p>
        </w:tc>
        <w:tc>
          <w:tcPr>
            <w:tcW w:w="826" w:type="pct"/>
            <w:shd w:val="clear" w:color="auto" w:fill="FFFFFF" w:themeFill="background1"/>
            <w:noWrap/>
            <w:vAlign w:val="center"/>
          </w:tcPr>
          <w:p w14:paraId="563C772B">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渗透测试服务</w:t>
            </w:r>
          </w:p>
        </w:tc>
        <w:tc>
          <w:tcPr>
            <w:tcW w:w="3126" w:type="pct"/>
            <w:shd w:val="clear" w:color="auto" w:fill="FFFFFF" w:themeFill="background1"/>
            <w:vAlign w:val="center"/>
          </w:tcPr>
          <w:p w14:paraId="68B49106">
            <w:pPr>
              <w:widowControl/>
              <w:spacing w:line="360" w:lineRule="auto"/>
              <w:rPr>
                <w:rFonts w:asciiTheme="minorEastAsia" w:hAnsiTheme="minorEastAsia" w:cstheme="minorEastAsia"/>
                <w:kern w:val="0"/>
                <w:szCs w:val="21"/>
              </w:rPr>
            </w:pPr>
            <w:r>
              <w:rPr>
                <w:rFonts w:hint="eastAsia" w:asciiTheme="minorEastAsia" w:hAnsiTheme="minorEastAsia" w:cstheme="minorEastAsia"/>
                <w:szCs w:val="21"/>
              </w:rPr>
              <w:t>一年内提供 2 次人工黑盒渗透测试服务，模拟黑客攻击思路与实战手段，针对采购方授权指定业务应用系统开展全方位模拟攻击检测，精准挖掘系统潜藏安全漏洞，全面识别应用层面各类安全风险，输出完整渗透测试报告、漏洞修复方案与安全加固指导，提升业务系统整体安全防护能力。</w:t>
            </w:r>
          </w:p>
        </w:tc>
        <w:tc>
          <w:tcPr>
            <w:tcW w:w="425" w:type="pct"/>
            <w:shd w:val="clear" w:color="auto" w:fill="FFFFFF" w:themeFill="background1"/>
            <w:noWrap/>
            <w:vAlign w:val="center"/>
          </w:tcPr>
          <w:p w14:paraId="722C7C4D">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次</w:t>
            </w:r>
          </w:p>
        </w:tc>
        <w:tc>
          <w:tcPr>
            <w:tcW w:w="285" w:type="pct"/>
            <w:shd w:val="clear" w:color="auto" w:fill="FFFFFF" w:themeFill="background1"/>
            <w:noWrap/>
            <w:vAlign w:val="center"/>
          </w:tcPr>
          <w:p w14:paraId="2FA9901B">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2</w:t>
            </w:r>
          </w:p>
        </w:tc>
      </w:tr>
      <w:tr w14:paraId="1478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336" w:type="pct"/>
            <w:shd w:val="clear" w:color="auto" w:fill="FFFFFF" w:themeFill="background1"/>
            <w:vAlign w:val="center"/>
          </w:tcPr>
          <w:p w14:paraId="707B8C7A">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8</w:t>
            </w:r>
          </w:p>
        </w:tc>
        <w:tc>
          <w:tcPr>
            <w:tcW w:w="826" w:type="pct"/>
            <w:shd w:val="clear" w:color="auto" w:fill="FFFFFF" w:themeFill="background1"/>
            <w:noWrap/>
            <w:vAlign w:val="center"/>
          </w:tcPr>
          <w:p w14:paraId="055E23C5">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网络安全知识培训</w:t>
            </w:r>
          </w:p>
        </w:tc>
        <w:tc>
          <w:tcPr>
            <w:tcW w:w="3126" w:type="pct"/>
            <w:shd w:val="clear" w:color="auto" w:fill="FFFFFF" w:themeFill="background1"/>
            <w:vAlign w:val="center"/>
          </w:tcPr>
          <w:p w14:paraId="7A8825AD">
            <w:pPr>
              <w:widowControl/>
              <w:spacing w:line="360" w:lineRule="auto"/>
              <w:rPr>
                <w:rFonts w:asciiTheme="minorEastAsia" w:hAnsiTheme="minorEastAsia" w:cstheme="minorEastAsia"/>
                <w:kern w:val="0"/>
                <w:szCs w:val="21"/>
              </w:rPr>
            </w:pPr>
            <w:r>
              <w:rPr>
                <w:rFonts w:hint="eastAsia" w:asciiTheme="minorEastAsia" w:hAnsiTheme="minorEastAsia" w:cstheme="minorEastAsia"/>
                <w:szCs w:val="21"/>
              </w:rPr>
              <w:t>一年内提供2次面向单位全体员工开展网络安全意识与知识培训，采用现场授课与案例讲解相结合的方式，提升员工安全防范意识与防护技能，并提供培训计划与培训课件。</w:t>
            </w:r>
          </w:p>
        </w:tc>
        <w:tc>
          <w:tcPr>
            <w:tcW w:w="425" w:type="pct"/>
            <w:shd w:val="clear" w:color="auto" w:fill="FFFFFF" w:themeFill="background1"/>
            <w:noWrap/>
            <w:vAlign w:val="center"/>
          </w:tcPr>
          <w:p w14:paraId="1D17D88B">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次</w:t>
            </w:r>
          </w:p>
        </w:tc>
        <w:tc>
          <w:tcPr>
            <w:tcW w:w="285" w:type="pct"/>
            <w:shd w:val="clear" w:color="auto" w:fill="FFFFFF" w:themeFill="background1"/>
            <w:noWrap/>
            <w:vAlign w:val="center"/>
          </w:tcPr>
          <w:p w14:paraId="03F3BE84">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2</w:t>
            </w:r>
          </w:p>
        </w:tc>
      </w:tr>
      <w:tr w14:paraId="205E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336" w:type="pct"/>
            <w:shd w:val="clear" w:color="auto" w:fill="FFFFFF" w:themeFill="background1"/>
            <w:vAlign w:val="center"/>
          </w:tcPr>
          <w:p w14:paraId="3F3D0C3C">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9</w:t>
            </w:r>
          </w:p>
        </w:tc>
        <w:tc>
          <w:tcPr>
            <w:tcW w:w="826" w:type="pct"/>
            <w:shd w:val="clear" w:color="auto" w:fill="FFFFFF" w:themeFill="background1"/>
            <w:noWrap/>
            <w:vAlign w:val="center"/>
          </w:tcPr>
          <w:p w14:paraId="240B2819">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数据机房运营服务</w:t>
            </w:r>
          </w:p>
        </w:tc>
        <w:tc>
          <w:tcPr>
            <w:tcW w:w="3126" w:type="pct"/>
            <w:shd w:val="clear" w:color="auto" w:fill="FFFFFF" w:themeFill="background1"/>
            <w:vAlign w:val="center"/>
          </w:tcPr>
          <w:p w14:paraId="13CE08B1">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提供运维监控平台，对采购人数据机房内的服务器、存储设备、交换机设备、安全设备、虚拟化平台、操作系统、业务系统以及所有类型数据库的运行情况进行多维度立体化统一运维监控及数据分析。</w:t>
            </w:r>
          </w:p>
          <w:p w14:paraId="0C0464E2">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机房资产梳理及标注服务。</w:t>
            </w:r>
          </w:p>
          <w:p w14:paraId="4A345E43">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机房巡检服务：包含月度、季度及年度巡检。</w:t>
            </w:r>
          </w:p>
          <w:p w14:paraId="74CA26AD">
            <w:pPr>
              <w:pStyle w:val="11"/>
              <w:numPr>
                <w:ilvl w:val="0"/>
                <w:numId w:val="3"/>
              </w:numPr>
              <w:ind w:firstLineChars="0"/>
              <w:rPr>
                <w:rFonts w:asciiTheme="minorEastAsia" w:hAnsiTheme="minorEastAsia" w:cstheme="minorEastAsia"/>
                <w:szCs w:val="21"/>
              </w:rPr>
            </w:pPr>
            <w:r>
              <w:rPr>
                <w:rFonts w:hint="eastAsia" w:asciiTheme="minorEastAsia" w:hAnsiTheme="minorEastAsia" w:cstheme="minorEastAsia"/>
                <w:szCs w:val="21"/>
              </w:rPr>
              <w:t>设备升级及维护服务：根据需求对设备数据进行配置、规划、调整、备份及设备的系统版本升级及补丁安装；新增设备网络参数及IP规划、割接入网、业务调整；架构变动时的设备迁移等。</w:t>
            </w:r>
          </w:p>
          <w:p w14:paraId="711D7993">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负责对正常使用条件下数据机房内的服务器、存储设备及网络设备等硬件进行维护，包括故障诊断和免费更换损坏配件，当以上服务器、存储设备的主板、CPU、内存、硬盘、电源等部件发生故障时的维修，需进行免费更换技术服务。</w:t>
            </w:r>
          </w:p>
          <w:p w14:paraId="3AE28A21">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应急响应服务：提供7*24小时应急响应服务， 10分钟内电话响应，对于系统严重问题， 3小时内赶赴现场，尽快排除故障。</w:t>
            </w:r>
          </w:p>
          <w:p w14:paraId="07953EE1">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技术咨询支持服务，包括日常技术交流、网络架构调整和信息建设咨询服务等。</w:t>
            </w:r>
          </w:p>
          <w:p w14:paraId="5B0E19CD">
            <w:pPr>
              <w:pStyle w:val="11"/>
              <w:widowControl/>
              <w:numPr>
                <w:ilvl w:val="0"/>
                <w:numId w:val="3"/>
              </w:numPr>
              <w:spacing w:line="360" w:lineRule="auto"/>
              <w:ind w:firstLineChars="0"/>
              <w:rPr>
                <w:rFonts w:asciiTheme="minorEastAsia" w:hAnsiTheme="minorEastAsia" w:cstheme="minorEastAsia"/>
                <w:szCs w:val="21"/>
              </w:rPr>
            </w:pPr>
            <w:r>
              <w:rPr>
                <w:rFonts w:hint="eastAsia" w:asciiTheme="minorEastAsia" w:hAnsiTheme="minorEastAsia" w:cstheme="minorEastAsia"/>
                <w:szCs w:val="21"/>
              </w:rPr>
              <w:t>服务期：一年</w:t>
            </w:r>
          </w:p>
        </w:tc>
        <w:tc>
          <w:tcPr>
            <w:tcW w:w="425" w:type="pct"/>
            <w:shd w:val="clear" w:color="auto" w:fill="FFFFFF" w:themeFill="background1"/>
            <w:noWrap/>
            <w:vAlign w:val="center"/>
          </w:tcPr>
          <w:p w14:paraId="4700BBB1">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项</w:t>
            </w:r>
          </w:p>
        </w:tc>
        <w:tc>
          <w:tcPr>
            <w:tcW w:w="285" w:type="pct"/>
            <w:shd w:val="clear" w:color="auto" w:fill="FFFFFF" w:themeFill="background1"/>
            <w:noWrap/>
            <w:vAlign w:val="center"/>
          </w:tcPr>
          <w:p w14:paraId="022D5690">
            <w:pPr>
              <w:widowControl/>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1</w:t>
            </w:r>
          </w:p>
        </w:tc>
      </w:tr>
    </w:tbl>
    <w:p w14:paraId="1C0DB77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89DE5"/>
    <w:multiLevelType w:val="singleLevel"/>
    <w:tmpl w:val="B6C89DE5"/>
    <w:lvl w:ilvl="0" w:tentative="0">
      <w:start w:val="1"/>
      <w:numFmt w:val="decimal"/>
      <w:suff w:val="nothing"/>
      <w:lvlText w:val="%1、"/>
      <w:lvlJc w:val="left"/>
    </w:lvl>
  </w:abstractNum>
  <w:abstractNum w:abstractNumId="1">
    <w:nsid w:val="1E807FB7"/>
    <w:multiLevelType w:val="singleLevel"/>
    <w:tmpl w:val="1E807FB7"/>
    <w:lvl w:ilvl="0" w:tentative="0">
      <w:start w:val="1"/>
      <w:numFmt w:val="decimal"/>
      <w:suff w:val="nothing"/>
      <w:lvlText w:val="%1、"/>
      <w:lvlJc w:val="left"/>
      <w:rPr>
        <w:rFonts w:hint="default" w:ascii="宋体" w:hAnsi="宋体" w:eastAsia="宋体" w:cs="宋体"/>
        <w:sz w:val="24"/>
        <w:szCs w:val="24"/>
      </w:rPr>
    </w:lvl>
  </w:abstractNum>
  <w:abstractNum w:abstractNumId="2">
    <w:nsid w:val="67AB4E98"/>
    <w:multiLevelType w:val="multilevel"/>
    <w:tmpl w:val="67AB4E9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4CF"/>
    <w:rsid w:val="00057902"/>
    <w:rsid w:val="000818CA"/>
    <w:rsid w:val="000867D1"/>
    <w:rsid w:val="000C4BD8"/>
    <w:rsid w:val="00134C15"/>
    <w:rsid w:val="00186D6A"/>
    <w:rsid w:val="001F14CF"/>
    <w:rsid w:val="00232D61"/>
    <w:rsid w:val="00334533"/>
    <w:rsid w:val="00387EEB"/>
    <w:rsid w:val="00417467"/>
    <w:rsid w:val="00465594"/>
    <w:rsid w:val="004667CF"/>
    <w:rsid w:val="0048388F"/>
    <w:rsid w:val="004D030D"/>
    <w:rsid w:val="00587098"/>
    <w:rsid w:val="005F608F"/>
    <w:rsid w:val="005F60D6"/>
    <w:rsid w:val="00600A15"/>
    <w:rsid w:val="0062111F"/>
    <w:rsid w:val="006C1EE0"/>
    <w:rsid w:val="006C3EF5"/>
    <w:rsid w:val="006C725F"/>
    <w:rsid w:val="00971CBA"/>
    <w:rsid w:val="00983B39"/>
    <w:rsid w:val="009D72E0"/>
    <w:rsid w:val="009F3484"/>
    <w:rsid w:val="00A04846"/>
    <w:rsid w:val="00A4765B"/>
    <w:rsid w:val="00A51EEA"/>
    <w:rsid w:val="00A574C3"/>
    <w:rsid w:val="00A6635E"/>
    <w:rsid w:val="00AA6FB3"/>
    <w:rsid w:val="00B1646A"/>
    <w:rsid w:val="00B3698C"/>
    <w:rsid w:val="00BA2C3E"/>
    <w:rsid w:val="00D1003B"/>
    <w:rsid w:val="00D9109F"/>
    <w:rsid w:val="00E36AAC"/>
    <w:rsid w:val="00E90C6A"/>
    <w:rsid w:val="00EC2A28"/>
    <w:rsid w:val="00F559FD"/>
    <w:rsid w:val="00FC1E1F"/>
    <w:rsid w:val="00FE0BB6"/>
    <w:rsid w:val="00FF6F0B"/>
    <w:rsid w:val="012E5937"/>
    <w:rsid w:val="092B3E78"/>
    <w:rsid w:val="1BFE016B"/>
    <w:rsid w:val="3D4C5207"/>
    <w:rsid w:val="59E2544C"/>
    <w:rsid w:val="5BFD3E45"/>
    <w:rsid w:val="601967AD"/>
    <w:rsid w:val="60FE4820"/>
    <w:rsid w:val="6260773F"/>
    <w:rsid w:val="764DFBD8"/>
    <w:rsid w:val="7B045E41"/>
    <w:rsid w:val="FFAFA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22"/>
    <w:rPr>
      <w:b/>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页眉 字符"/>
    <w:basedOn w:val="6"/>
    <w:link w:val="3"/>
    <w:uiPriority w:val="99"/>
    <w:rPr>
      <w:rFonts w:asciiTheme="minorHAnsi" w:hAnsiTheme="minorHAnsi" w:eastAsiaTheme="minorEastAsia" w:cstheme="minorBidi"/>
      <w:kern w:val="2"/>
      <w:sz w:val="18"/>
      <w:szCs w:val="18"/>
    </w:rPr>
  </w:style>
  <w:style w:type="character" w:customStyle="1" w:styleId="10">
    <w:name w:val="页脚 字符"/>
    <w:basedOn w:val="6"/>
    <w:link w:val="2"/>
    <w:qFormat/>
    <w:uiPriority w:val="99"/>
    <w:rPr>
      <w:rFonts w:asciiTheme="minorHAnsi" w:hAnsiTheme="minorHAnsi" w:eastAsiaTheme="minorEastAsia" w:cstheme="minorBidi"/>
      <w:kern w:val="2"/>
      <w:sz w:val="18"/>
      <w:szCs w:val="18"/>
    </w:rPr>
  </w:style>
  <w:style w:type="paragraph" w:styleId="11">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0bd14e94-2d2a-4629-b234-aefde37e844d</errorID>
      <errorWord>(</errorWord>
      <group>L1_Format</group>
      <groupName>格式问题</groupName>
      <ability>L2_HalfPunc_CN</ability>
      <abilityName>全半角问题</abilityName>
      <candidateList>
        <item>（</item>
      </candidateList>
      <explain>文本全半角错误。</explain>
      <paraID>1AD5430F</paraID>
      <start>85</start>
      <end>86</end>
      <status>unmodified</status>
      <modifiedWord/>
      <trackRevisions>false</trackRevisions>
    </reviewItem>
    <reviewItem>
      <errorID>d16cff82-cf41-4cff-99d8-c919ea6e5d81</errorID>
      <errorWord>)</errorWord>
      <group>L1_Format</group>
      <groupName>格式问题</groupName>
      <ability>L2_HalfPunc_CN</ability>
      <abilityName>全半角问题</abilityName>
      <candidateList>
        <item>）</item>
      </candidateList>
      <explain>文本全半角错误。</explain>
      <paraID>1AD5430F</paraID>
      <start>113</start>
      <end>114</end>
      <status>unmodified</status>
      <modifiedWord/>
      <trackRevisions>false</trackRevisions>
    </reviewItem>
    <reviewItem>
      <errorID>a6fedc40-4081-46c4-8048-0db14e9e9c24</errorID>
      <errorWord>(</errorWord>
      <group>L1_Format</group>
      <groupName>格式问题</groupName>
      <ability>L2_HalfPunc_CN</ability>
      <abilityName>全半角问题</abilityName>
      <candidateList>
        <item>（</item>
      </candidateList>
      <explain>文本全半角错误。</explain>
      <paraID>127BD512</paraID>
      <start>18</start>
      <end>19</end>
      <status>unmodified</status>
      <modifiedWord/>
      <trackRevisions>false</trackRevisions>
    </reviewItem>
    <reviewItem>
      <errorID>3a68800d-4020-483c-9825-29f6c347694a</errorID>
      <errorWord>、等</errorWord>
      <group>L1_Punc</group>
      <groupName>标点问题</groupName>
      <ability>L2_Punc_CN</ability>
      <abilityName>标点符号问题</abilityName>
      <candidateList>
        <item>等</item>
      </candidateList>
      <explain>“及”“和”“等”连词前不宜使用顿号，建议删除（或使用逗号）。</explain>
      <paraID>2CF78B23</paraID>
      <start>27</start>
      <end>29</end>
      <status>unmodified</status>
      <modifiedWord/>
      <trackRevisions>false</trackRevisions>
    </reviewItem>
    <reviewItem>
      <errorID>63e54a76-387a-4996-956d-d2811bec5e7f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3C93E39B</paraID>
      <start>65</start>
      <end>68</end>
      <status>unmodified</status>
      <modifiedWord/>
      <trackRevisions>false</trackRevisions>
    </reviewItem>
    <reviewItem>
      <errorID>82cb7b97-88cf-4587-8bfa-7dcfb65d15b1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3C93E39B</paraID>
      <start>77</start>
      <end>80</end>
      <status>unmodified</status>
      <modifiedWord/>
      <trackRevisions>false</trackRevisions>
    </reviewItem>
    <reviewItem>
      <errorID>8dc7953f-ad42-4b3e-8256-8b4f1185180e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3C93E39B</paraID>
      <start>89</start>
      <end>92</end>
      <status>unmodified</status>
      <modifiedWord/>
      <trackRevisions>false</trackRevisions>
    </reviewItem>
    <reviewItem>
      <errorID>0d780ea5-aaa7-49b3-a827-4f92677d86be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3C93E39B</paraID>
      <start>96</start>
      <end>99</end>
      <status>unmodified</status>
      <modifiedWord/>
      <trackRevisions>false</trackRevisions>
    </reviewItem>
  </reviewItems>
  <config/>
</contractReview>
</file>

<file path=customXml/itemProps1.xml><?xml version="1.0" encoding="utf-8"?>
<ds:datastoreItem xmlns:ds="http://schemas.openxmlformats.org/officeDocument/2006/customXml" ds:itemID="{12520BAF-123A-4506-86AA-BF717D0D0E79}">
  <ds:schemaRefs/>
</ds:datastoreItem>
</file>

<file path=docProps/app.xml><?xml version="1.0" encoding="utf-8"?>
<Properties xmlns="http://schemas.openxmlformats.org/officeDocument/2006/extended-properties" xmlns:vt="http://schemas.openxmlformats.org/officeDocument/2006/docPropsVTypes">
  <Template>Normal.dotm</Template>
  <Company>dw</Company>
  <Pages>7</Pages>
  <Words>3530</Words>
  <Characters>3580</Characters>
  <Lines>26</Lines>
  <Paragraphs>7</Paragraphs>
  <TotalTime>159</TotalTime>
  <ScaleCrop>false</ScaleCrop>
  <LinksUpToDate>false</LinksUpToDate>
  <CharactersWithSpaces>3591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2026-09-11T07:12:00Z</dcterms:created>
  <dc:creator>dw</dc:creator>
  <cp:lastModifiedBy>罗勇</cp:lastModifiedBy>
  <dcterms:modified xsi:type="dcterms:W3CDTF">2026-09-14T02:15:31Z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20E54E4E45E5453985BE8EFE9F19E035_13</vt:lpwstr>
  </property>
  <property fmtid="{D5CDD505-2E9C-101B-9397-08002B2CF9AE}" pid="4" name="KSOTemplateDocerSaveRecord">
    <vt:lpwstr>eyJoZGlkIjoiZGE2YjI3MTUzNjdkZmY1YjUyYTk3MzY0M2ZmOTY4Y2UiLCJ1c2VySWQiOiIxMjkyMjIyNTU3In0=</vt:lpwstr>
  </property>
</Properties>
</file>